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9AF24" w14:textId="03275128" w:rsidR="005F730B" w:rsidRDefault="00B123BF" w:rsidP="00B123BF">
      <w:pPr>
        <w:pStyle w:val="Heading1nonumber"/>
      </w:pPr>
      <w:r>
        <w:t>Data files supporting the Marinus Link Project Assessment Draft Report</w:t>
      </w:r>
    </w:p>
    <w:p w14:paraId="156349AA" w14:textId="02142486" w:rsidR="00B123BF" w:rsidRPr="00B123BF" w:rsidRDefault="00B123BF" w:rsidP="00B123BF">
      <w:pPr>
        <w:rPr>
          <w:lang w:val="en-AU"/>
        </w:rPr>
      </w:pPr>
      <w:r>
        <w:rPr>
          <w:lang w:val="en-AU"/>
        </w:rPr>
        <w:t>TasNetworks has provided ten data files which provide additional detailed information relating to the modelling of net market benefits presented in the Marinus Link Project Assessment Draft Report</w:t>
      </w:r>
      <w:r w:rsidR="00C327C8">
        <w:rPr>
          <w:lang w:val="en-AU"/>
        </w:rPr>
        <w:t xml:space="preserve"> (</w:t>
      </w:r>
      <w:r w:rsidR="00C327C8" w:rsidRPr="00C327C8">
        <w:rPr>
          <w:b/>
          <w:i/>
          <w:lang w:val="en-AU"/>
        </w:rPr>
        <w:t>PADR</w:t>
      </w:r>
      <w:r w:rsidR="00C327C8">
        <w:rPr>
          <w:b/>
          <w:lang w:val="en-AU"/>
        </w:rPr>
        <w:t>)</w:t>
      </w:r>
      <w:r>
        <w:rPr>
          <w:lang w:val="en-AU"/>
        </w:rPr>
        <w:t>. The following paragraphs provide an explanation of these data files.</w:t>
      </w:r>
    </w:p>
    <w:p w14:paraId="545A1958" w14:textId="1C9DC3C2" w:rsidR="00B123BF" w:rsidRDefault="00B123BF" w:rsidP="00B123BF">
      <w:pPr>
        <w:pStyle w:val="Heading2nonumber"/>
      </w:pPr>
      <w:r>
        <w:t>Description of data files</w:t>
      </w:r>
    </w:p>
    <w:tbl>
      <w:tblPr>
        <w:tblStyle w:val="TableGrid"/>
        <w:tblW w:w="9639" w:type="dxa"/>
        <w:tblLayout w:type="fixed"/>
        <w:tblLook w:val="04A0" w:firstRow="1" w:lastRow="0" w:firstColumn="1" w:lastColumn="0" w:noHBand="0" w:noVBand="1"/>
      </w:tblPr>
      <w:tblGrid>
        <w:gridCol w:w="4361"/>
        <w:gridCol w:w="5278"/>
      </w:tblGrid>
      <w:tr w:rsidR="00B123BF" w:rsidRPr="000E6FCC" w14:paraId="618FD087" w14:textId="77777777" w:rsidTr="00DD5621">
        <w:trPr>
          <w:trHeight w:val="567"/>
        </w:trPr>
        <w:tc>
          <w:tcPr>
            <w:tcW w:w="4361" w:type="dxa"/>
            <w:shd w:val="clear" w:color="auto" w:fill="002D49"/>
            <w:vAlign w:val="center"/>
          </w:tcPr>
          <w:p w14:paraId="30E3B917" w14:textId="066F773C" w:rsidR="00B123BF" w:rsidRPr="000E6FCC" w:rsidRDefault="00B123BF" w:rsidP="00B123BF">
            <w:pPr>
              <w:pStyle w:val="Body"/>
              <w:keepNext/>
              <w:tabs>
                <w:tab w:val="left" w:pos="5670"/>
              </w:tabs>
              <w:spacing w:line="252" w:lineRule="auto"/>
              <w:rPr>
                <w:sz w:val="18"/>
              </w:rPr>
            </w:pPr>
            <w:r>
              <w:rPr>
                <w:b/>
                <w:bCs/>
                <w:color w:val="FFFFFF"/>
                <w:sz w:val="18"/>
                <w:u w:color="FFFFFF"/>
              </w:rPr>
              <w:t>File</w:t>
            </w:r>
          </w:p>
        </w:tc>
        <w:tc>
          <w:tcPr>
            <w:tcW w:w="5278" w:type="dxa"/>
            <w:shd w:val="clear" w:color="auto" w:fill="002D49"/>
            <w:vAlign w:val="center"/>
          </w:tcPr>
          <w:p w14:paraId="2B406C84" w14:textId="068F0B61" w:rsidR="00B123BF" w:rsidRPr="000E6FCC" w:rsidRDefault="00B123BF" w:rsidP="00B123BF">
            <w:pPr>
              <w:pStyle w:val="Body"/>
              <w:keepNext/>
              <w:tabs>
                <w:tab w:val="left" w:pos="5670"/>
              </w:tabs>
              <w:spacing w:line="252" w:lineRule="auto"/>
              <w:rPr>
                <w:sz w:val="18"/>
              </w:rPr>
            </w:pPr>
            <w:r>
              <w:rPr>
                <w:b/>
                <w:bCs/>
                <w:color w:val="FFFFFF"/>
                <w:sz w:val="18"/>
                <w:u w:color="FFFFFF"/>
              </w:rPr>
              <w:t>Description</w:t>
            </w:r>
          </w:p>
        </w:tc>
      </w:tr>
      <w:tr w:rsidR="00B123BF" w:rsidRPr="000E6FCC" w14:paraId="3AB0261E" w14:textId="77777777" w:rsidTr="00DD5621">
        <w:tc>
          <w:tcPr>
            <w:tcW w:w="4361" w:type="dxa"/>
          </w:tcPr>
          <w:p w14:paraId="653FBD4F" w14:textId="33951E2B" w:rsidR="00B123BF" w:rsidRPr="000E6FCC" w:rsidRDefault="00B123BF" w:rsidP="00B123BF">
            <w:pPr>
              <w:pStyle w:val="Body"/>
              <w:keepNext/>
              <w:tabs>
                <w:tab w:val="left" w:pos="5670"/>
              </w:tabs>
              <w:spacing w:before="60" w:after="80" w:line="276" w:lineRule="auto"/>
              <w:rPr>
                <w:sz w:val="18"/>
              </w:rPr>
            </w:pPr>
            <w:r>
              <w:rPr>
                <w:sz w:val="18"/>
              </w:rPr>
              <w:t>Marinus Link PADR modelling assumptions workbook</w:t>
            </w:r>
            <w:r w:rsidR="00FC514C">
              <w:rPr>
                <w:sz w:val="18"/>
              </w:rPr>
              <w:t xml:space="preserve"> </w:t>
            </w:r>
            <w:r w:rsidR="00FC514C" w:rsidRPr="00FC514C">
              <w:rPr>
                <w:sz w:val="18"/>
              </w:rPr>
              <w:t>2019_12_19a</w:t>
            </w:r>
            <w:bookmarkStart w:id="0" w:name="_GoBack"/>
            <w:bookmarkEnd w:id="0"/>
            <w:r>
              <w:rPr>
                <w:sz w:val="18"/>
              </w:rPr>
              <w:t>.xls</w:t>
            </w:r>
            <w:r w:rsidR="00C327C8">
              <w:rPr>
                <w:sz w:val="18"/>
              </w:rPr>
              <w:t>x</w:t>
            </w:r>
          </w:p>
        </w:tc>
        <w:tc>
          <w:tcPr>
            <w:tcW w:w="5278" w:type="dxa"/>
          </w:tcPr>
          <w:p w14:paraId="628944FE" w14:textId="5F4BC5B9" w:rsidR="00B123BF" w:rsidRDefault="00C327C8" w:rsidP="00C327C8">
            <w:pPr>
              <w:pStyle w:val="Body"/>
              <w:keepNext/>
              <w:tabs>
                <w:tab w:val="left" w:pos="5670"/>
              </w:tabs>
              <w:spacing w:before="60" w:after="80" w:line="276" w:lineRule="auto"/>
              <w:rPr>
                <w:sz w:val="18"/>
              </w:rPr>
            </w:pPr>
            <w:r>
              <w:rPr>
                <w:sz w:val="18"/>
              </w:rPr>
              <w:t>Lists the assumptions used by Ernst &amp; Young (</w:t>
            </w:r>
            <w:r w:rsidRPr="00C327C8">
              <w:rPr>
                <w:b/>
                <w:sz w:val="18"/>
              </w:rPr>
              <w:t>EY</w:t>
            </w:r>
            <w:r>
              <w:rPr>
                <w:sz w:val="18"/>
              </w:rPr>
              <w:t xml:space="preserve">) in undertaking the market expansion modelling, as discussed in section 5.2 of the </w:t>
            </w:r>
            <w:r>
              <w:rPr>
                <w:i/>
                <w:sz w:val="18"/>
              </w:rPr>
              <w:t>PADR</w:t>
            </w:r>
            <w:r>
              <w:rPr>
                <w:sz w:val="18"/>
              </w:rPr>
              <w:t xml:space="preserve"> and Attachment 1 to the </w:t>
            </w:r>
            <w:r w:rsidRPr="00C327C8">
              <w:rPr>
                <w:i/>
                <w:sz w:val="18"/>
              </w:rPr>
              <w:t>PADR</w:t>
            </w:r>
            <w:r>
              <w:rPr>
                <w:sz w:val="18"/>
              </w:rPr>
              <w:t xml:space="preserve">. </w:t>
            </w:r>
          </w:p>
          <w:p w14:paraId="2DD0B4AD" w14:textId="1841AFA5" w:rsidR="00C327C8" w:rsidRPr="00C327C8" w:rsidRDefault="00C327C8" w:rsidP="006164AA">
            <w:pPr>
              <w:pStyle w:val="Body"/>
              <w:keepNext/>
              <w:tabs>
                <w:tab w:val="left" w:pos="5670"/>
              </w:tabs>
              <w:spacing w:before="60" w:after="80" w:line="276" w:lineRule="auto"/>
              <w:rPr>
                <w:sz w:val="18"/>
              </w:rPr>
            </w:pPr>
            <w:r>
              <w:rPr>
                <w:sz w:val="18"/>
              </w:rPr>
              <w:t>The format of this workbook closely follows the format used by the Australian Energy Market Operator in its Integrated System Plan Inputs and Assumptions workbooks.</w:t>
            </w:r>
          </w:p>
        </w:tc>
      </w:tr>
      <w:tr w:rsidR="00B123BF" w:rsidRPr="000E6FCC" w14:paraId="36123685" w14:textId="77777777" w:rsidTr="00DD5621">
        <w:tc>
          <w:tcPr>
            <w:tcW w:w="4361" w:type="dxa"/>
          </w:tcPr>
          <w:p w14:paraId="12B31B80" w14:textId="191C1424" w:rsidR="00B123BF" w:rsidRPr="000E6FCC" w:rsidRDefault="00C327C8" w:rsidP="00745316">
            <w:pPr>
              <w:pStyle w:val="Body"/>
              <w:tabs>
                <w:tab w:val="left" w:pos="5670"/>
              </w:tabs>
              <w:spacing w:before="60" w:after="80" w:line="276" w:lineRule="auto"/>
              <w:rPr>
                <w:sz w:val="18"/>
              </w:rPr>
            </w:pPr>
            <w:r>
              <w:rPr>
                <w:sz w:val="18"/>
              </w:rPr>
              <w:t>Economic Evaluation Marinus Link.xlsx</w:t>
            </w:r>
          </w:p>
        </w:tc>
        <w:tc>
          <w:tcPr>
            <w:tcW w:w="5278" w:type="dxa"/>
          </w:tcPr>
          <w:p w14:paraId="1021B568" w14:textId="77777777" w:rsidR="00C327C8" w:rsidRDefault="00C327C8" w:rsidP="00C327C8">
            <w:pPr>
              <w:pStyle w:val="Body"/>
              <w:tabs>
                <w:tab w:val="left" w:pos="5670"/>
              </w:tabs>
              <w:spacing w:before="60" w:after="80" w:line="276" w:lineRule="auto"/>
              <w:rPr>
                <w:sz w:val="18"/>
              </w:rPr>
            </w:pPr>
            <w:r>
              <w:rPr>
                <w:sz w:val="18"/>
              </w:rPr>
              <w:t xml:space="preserve">Provides the detailed derivation of net market benefits presented in Tables 8 to 12 of the </w:t>
            </w:r>
            <w:r>
              <w:rPr>
                <w:i/>
                <w:sz w:val="18"/>
              </w:rPr>
              <w:t>PADR</w:t>
            </w:r>
            <w:r>
              <w:rPr>
                <w:sz w:val="18"/>
              </w:rPr>
              <w:t xml:space="preserve">. </w:t>
            </w:r>
          </w:p>
          <w:p w14:paraId="5A8832D0" w14:textId="6341BCD6" w:rsidR="00B123BF" w:rsidRPr="00173A8A" w:rsidRDefault="00C327C8" w:rsidP="00173A8A">
            <w:pPr>
              <w:pStyle w:val="Body"/>
              <w:tabs>
                <w:tab w:val="left" w:pos="5670"/>
              </w:tabs>
              <w:spacing w:before="60" w:after="80" w:line="276" w:lineRule="auto"/>
              <w:rPr>
                <w:sz w:val="18"/>
              </w:rPr>
            </w:pPr>
            <w:r>
              <w:rPr>
                <w:sz w:val="18"/>
              </w:rPr>
              <w:t xml:space="preserve">This worksheet collates the results from EY’s market benefits modelling, GHD’s </w:t>
            </w:r>
            <w:r w:rsidR="006164AA">
              <w:rPr>
                <w:sz w:val="18"/>
              </w:rPr>
              <w:t xml:space="preserve">frequency control ancillary services </w:t>
            </w:r>
            <w:r>
              <w:rPr>
                <w:sz w:val="18"/>
              </w:rPr>
              <w:t xml:space="preserve">benefits modelling, and TasNetworks’ estimates of annualised costs of Marinus Link, to determine the net market benefits for each combination of </w:t>
            </w:r>
            <w:r w:rsidR="00173A8A">
              <w:rPr>
                <w:sz w:val="18"/>
              </w:rPr>
              <w:t>M</w:t>
            </w:r>
            <w:r>
              <w:rPr>
                <w:sz w:val="18"/>
              </w:rPr>
              <w:t xml:space="preserve">arinus </w:t>
            </w:r>
            <w:r w:rsidR="00173A8A">
              <w:rPr>
                <w:sz w:val="18"/>
              </w:rPr>
              <w:t xml:space="preserve">Link option, timing and scenario presented in </w:t>
            </w:r>
            <w:r w:rsidR="00173A8A">
              <w:rPr>
                <w:i/>
                <w:sz w:val="18"/>
              </w:rPr>
              <w:t>PADR</w:t>
            </w:r>
            <w:r w:rsidR="00173A8A">
              <w:rPr>
                <w:sz w:val="18"/>
              </w:rPr>
              <w:t xml:space="preserve"> Tables 8 to 12.</w:t>
            </w:r>
          </w:p>
        </w:tc>
      </w:tr>
      <w:tr w:rsidR="00173A8A" w:rsidRPr="000E6FCC" w14:paraId="1A7929A0" w14:textId="77777777" w:rsidTr="00DD5621">
        <w:tc>
          <w:tcPr>
            <w:tcW w:w="4361" w:type="dxa"/>
          </w:tcPr>
          <w:p w14:paraId="78674D88" w14:textId="429267D0" w:rsidR="00173A8A" w:rsidRDefault="00173A8A" w:rsidP="00745316">
            <w:pPr>
              <w:pStyle w:val="Body"/>
              <w:tabs>
                <w:tab w:val="left" w:pos="5670"/>
              </w:tabs>
              <w:spacing w:before="60" w:after="80" w:line="276" w:lineRule="auto"/>
              <w:rPr>
                <w:sz w:val="18"/>
              </w:rPr>
            </w:pPr>
            <w:r>
              <w:rPr>
                <w:sz w:val="18"/>
              </w:rPr>
              <w:t>8 files, with the name format,</w:t>
            </w:r>
          </w:p>
          <w:p w14:paraId="0B285009" w14:textId="1C2263E5" w:rsidR="00173A8A" w:rsidRDefault="00173A8A" w:rsidP="00173A8A">
            <w:pPr>
              <w:pStyle w:val="Body"/>
              <w:tabs>
                <w:tab w:val="left" w:pos="5670"/>
              </w:tabs>
              <w:spacing w:before="60" w:after="80" w:line="276" w:lineRule="auto"/>
              <w:ind w:left="357"/>
              <w:rPr>
                <w:sz w:val="18"/>
              </w:rPr>
            </w:pPr>
            <w:r w:rsidRPr="00173A8A">
              <w:rPr>
                <w:sz w:val="18"/>
              </w:rPr>
              <w:t xml:space="preserve">EY results workbook - </w:t>
            </w:r>
            <w:r>
              <w:rPr>
                <w:sz w:val="18"/>
              </w:rPr>
              <w:t>&lt;scenario&gt;</w:t>
            </w:r>
            <w:r w:rsidRPr="00173A8A">
              <w:rPr>
                <w:sz w:val="18"/>
              </w:rPr>
              <w:t xml:space="preserve"> - </w:t>
            </w:r>
            <w:r>
              <w:rPr>
                <w:sz w:val="18"/>
              </w:rPr>
              <w:t>Marinus 1500MW &lt;years&gt;.xlsx</w:t>
            </w:r>
          </w:p>
          <w:p w14:paraId="574109F6" w14:textId="745F6811" w:rsidR="00173A8A" w:rsidRDefault="00173A8A" w:rsidP="00173A8A">
            <w:pPr>
              <w:pStyle w:val="Body"/>
              <w:tabs>
                <w:tab w:val="left" w:pos="5670"/>
              </w:tabs>
              <w:spacing w:before="60" w:after="80" w:line="276" w:lineRule="auto"/>
              <w:rPr>
                <w:sz w:val="18"/>
              </w:rPr>
            </w:pPr>
          </w:p>
        </w:tc>
        <w:tc>
          <w:tcPr>
            <w:tcW w:w="5278" w:type="dxa"/>
          </w:tcPr>
          <w:p w14:paraId="39291417" w14:textId="102FE84E" w:rsidR="009B1801" w:rsidRDefault="00173A8A" w:rsidP="009B1801">
            <w:pPr>
              <w:pStyle w:val="Body"/>
              <w:tabs>
                <w:tab w:val="left" w:pos="5670"/>
              </w:tabs>
              <w:spacing w:before="60" w:after="80" w:line="276" w:lineRule="auto"/>
              <w:rPr>
                <w:sz w:val="18"/>
              </w:rPr>
            </w:pPr>
            <w:r>
              <w:rPr>
                <w:sz w:val="18"/>
              </w:rPr>
              <w:t xml:space="preserve">These </w:t>
            </w:r>
            <w:r w:rsidR="009B1801">
              <w:rPr>
                <w:sz w:val="18"/>
              </w:rPr>
              <w:t xml:space="preserve">files </w:t>
            </w:r>
            <w:r>
              <w:rPr>
                <w:sz w:val="18"/>
              </w:rPr>
              <w:t xml:space="preserve">provide greater detail </w:t>
            </w:r>
            <w:r w:rsidR="009B1801">
              <w:rPr>
                <w:sz w:val="18"/>
              </w:rPr>
              <w:t xml:space="preserve">about the market outcomes forecast by EY’s market expansion model. All files present modelling outcomes of the preferred option, being 1500 MW Marinus Link commissioned in two 750 MW stages. </w:t>
            </w:r>
          </w:p>
          <w:p w14:paraId="1D74703A" w14:textId="68B6949B" w:rsidR="006164AA" w:rsidRDefault="009B1801" w:rsidP="009B1801">
            <w:pPr>
              <w:pStyle w:val="Body"/>
              <w:tabs>
                <w:tab w:val="left" w:pos="5670"/>
              </w:tabs>
              <w:spacing w:before="60" w:after="80" w:line="276" w:lineRule="auto"/>
              <w:rPr>
                <w:sz w:val="18"/>
              </w:rPr>
            </w:pPr>
            <w:r>
              <w:rPr>
                <w:sz w:val="18"/>
              </w:rPr>
              <w:t xml:space="preserve">Two groups of files are provided, indicated by the &lt;years&gt; field in the filename: </w:t>
            </w:r>
          </w:p>
          <w:p w14:paraId="597D57F5" w14:textId="77777777" w:rsidR="006164AA" w:rsidRDefault="006164AA" w:rsidP="006164AA">
            <w:pPr>
              <w:pStyle w:val="Body"/>
              <w:tabs>
                <w:tab w:val="left" w:pos="5670"/>
              </w:tabs>
              <w:spacing w:before="60" w:after="80" w:line="276" w:lineRule="auto"/>
              <w:ind w:left="720"/>
              <w:rPr>
                <w:sz w:val="18"/>
              </w:rPr>
            </w:pPr>
            <w:r>
              <w:rPr>
                <w:sz w:val="18"/>
              </w:rPr>
              <w:t xml:space="preserve">&lt;years&gt; = “2028 and 2032”: </w:t>
            </w:r>
            <w:r w:rsidR="009B1801">
              <w:rPr>
                <w:sz w:val="18"/>
              </w:rPr>
              <w:t>the first stage of Marinus Link is commissioned in 2028 and the second stage is commissioned in 2032</w:t>
            </w:r>
            <w:r>
              <w:rPr>
                <w:sz w:val="18"/>
              </w:rPr>
              <w:t xml:space="preserve">. This is </w:t>
            </w:r>
            <w:r w:rsidR="009B1801">
              <w:rPr>
                <w:sz w:val="18"/>
              </w:rPr>
              <w:t>the option with the great</w:t>
            </w:r>
            <w:r>
              <w:rPr>
                <w:sz w:val="18"/>
              </w:rPr>
              <w:t xml:space="preserve">est net market benefit identified in the </w:t>
            </w:r>
            <w:r w:rsidRPr="006164AA">
              <w:rPr>
                <w:i/>
                <w:sz w:val="18"/>
              </w:rPr>
              <w:t>PADR</w:t>
            </w:r>
            <w:r w:rsidR="009B1801">
              <w:rPr>
                <w:sz w:val="18"/>
              </w:rPr>
              <w:t>.</w:t>
            </w:r>
          </w:p>
          <w:p w14:paraId="0D1BB88E" w14:textId="0F014D1A" w:rsidR="00173A8A" w:rsidRDefault="006164AA" w:rsidP="006164AA">
            <w:pPr>
              <w:pStyle w:val="Body"/>
              <w:tabs>
                <w:tab w:val="left" w:pos="5670"/>
              </w:tabs>
              <w:spacing w:before="60" w:after="80" w:line="276" w:lineRule="auto"/>
              <w:ind w:left="720"/>
              <w:rPr>
                <w:sz w:val="18"/>
              </w:rPr>
            </w:pPr>
            <w:r>
              <w:rPr>
                <w:sz w:val="18"/>
              </w:rPr>
              <w:t xml:space="preserve">&lt;years&gt; = </w:t>
            </w:r>
            <w:r w:rsidR="009B1801">
              <w:rPr>
                <w:sz w:val="18"/>
              </w:rPr>
              <w:t xml:space="preserve"> </w:t>
            </w:r>
            <w:r>
              <w:rPr>
                <w:sz w:val="18"/>
              </w:rPr>
              <w:t xml:space="preserve">“2027 and 2028” is </w:t>
            </w:r>
            <w:r w:rsidR="009B1801">
              <w:rPr>
                <w:sz w:val="18"/>
              </w:rPr>
              <w:t xml:space="preserve">the alternative </w:t>
            </w:r>
            <w:r>
              <w:rPr>
                <w:sz w:val="18"/>
              </w:rPr>
              <w:t xml:space="preserve">timing </w:t>
            </w:r>
            <w:r w:rsidR="009B1801">
              <w:rPr>
                <w:sz w:val="18"/>
              </w:rPr>
              <w:t xml:space="preserve">proposed in section 6.3 of the </w:t>
            </w:r>
            <w:r w:rsidR="009B1801">
              <w:rPr>
                <w:i/>
                <w:sz w:val="18"/>
              </w:rPr>
              <w:t>PADR</w:t>
            </w:r>
            <w:r w:rsidR="009B1801">
              <w:rPr>
                <w:sz w:val="18"/>
              </w:rPr>
              <w:t>, with the first stage commissioned in 2027 and the second stage in 2028.</w:t>
            </w:r>
          </w:p>
          <w:p w14:paraId="7527FF46" w14:textId="2D5314AF" w:rsidR="009B1801" w:rsidRPr="009B1801" w:rsidRDefault="009B1801" w:rsidP="006164AA">
            <w:pPr>
              <w:pStyle w:val="Body"/>
              <w:tabs>
                <w:tab w:val="left" w:pos="5670"/>
              </w:tabs>
              <w:spacing w:before="60" w:after="80" w:line="276" w:lineRule="auto"/>
              <w:rPr>
                <w:sz w:val="18"/>
              </w:rPr>
            </w:pPr>
            <w:r>
              <w:rPr>
                <w:sz w:val="18"/>
              </w:rPr>
              <w:t xml:space="preserve">For each </w:t>
            </w:r>
            <w:r w:rsidR="006164AA">
              <w:rPr>
                <w:sz w:val="18"/>
              </w:rPr>
              <w:t>of the two &lt;years&gt; options</w:t>
            </w:r>
            <w:r>
              <w:rPr>
                <w:sz w:val="18"/>
              </w:rPr>
              <w:t>, four different files are provided, corresponding to the scenario being modelled.</w:t>
            </w:r>
          </w:p>
        </w:tc>
      </w:tr>
    </w:tbl>
    <w:p w14:paraId="2FB8C40C" w14:textId="327DDDDC" w:rsidR="00B123BF" w:rsidRDefault="00DD5621" w:rsidP="00DD5621">
      <w:pPr>
        <w:pStyle w:val="Heading2nonumber"/>
      </w:pPr>
      <w:r>
        <w:lastRenderedPageBreak/>
        <w:t xml:space="preserve">Contents of the </w:t>
      </w:r>
      <w:r>
        <w:rPr>
          <w:i/>
        </w:rPr>
        <w:t>EY results workbook</w:t>
      </w:r>
      <w:r>
        <w:t xml:space="preserve"> files</w:t>
      </w:r>
    </w:p>
    <w:p w14:paraId="21B5222E" w14:textId="66EA7A8F" w:rsidR="00DD5621" w:rsidRDefault="00DD5621" w:rsidP="00DD5621">
      <w:pPr>
        <w:rPr>
          <w:lang w:val="en-AU"/>
        </w:rPr>
      </w:pPr>
      <w:r>
        <w:rPr>
          <w:lang w:val="en-AU"/>
        </w:rPr>
        <w:t xml:space="preserve">The eight files providing detailed results from EY’s market expansion model </w:t>
      </w:r>
      <w:r w:rsidR="00280626">
        <w:rPr>
          <w:lang w:val="en-AU"/>
        </w:rPr>
        <w:t xml:space="preserve">each </w:t>
      </w:r>
      <w:r>
        <w:rPr>
          <w:lang w:val="en-AU"/>
        </w:rPr>
        <w:t>contain 26 individual worksheets. The worksheets’ tabs are colour coded.</w:t>
      </w:r>
    </w:p>
    <w:tbl>
      <w:tblPr>
        <w:tblStyle w:val="TableGrid"/>
        <w:tblW w:w="9889" w:type="dxa"/>
        <w:tblLayout w:type="fixed"/>
        <w:tblLook w:val="04A0" w:firstRow="1" w:lastRow="0" w:firstColumn="1" w:lastColumn="0" w:noHBand="0" w:noVBand="1"/>
      </w:tblPr>
      <w:tblGrid>
        <w:gridCol w:w="1526"/>
        <w:gridCol w:w="3685"/>
        <w:gridCol w:w="4678"/>
      </w:tblGrid>
      <w:tr w:rsidR="00DD5621" w:rsidRPr="000E6FCC" w14:paraId="3E3FE2A1" w14:textId="77777777" w:rsidTr="009C1BE5">
        <w:trPr>
          <w:trHeight w:val="567"/>
        </w:trPr>
        <w:tc>
          <w:tcPr>
            <w:tcW w:w="1526" w:type="dxa"/>
            <w:shd w:val="clear" w:color="auto" w:fill="002D49"/>
            <w:vAlign w:val="center"/>
          </w:tcPr>
          <w:p w14:paraId="15D582CF" w14:textId="363C9F0B" w:rsidR="00DD5621" w:rsidRPr="000E6FCC" w:rsidRDefault="00DD5621" w:rsidP="00DD5621">
            <w:pPr>
              <w:pStyle w:val="Body"/>
              <w:keepNext/>
              <w:tabs>
                <w:tab w:val="left" w:pos="5670"/>
              </w:tabs>
              <w:spacing w:line="252" w:lineRule="auto"/>
              <w:rPr>
                <w:sz w:val="18"/>
              </w:rPr>
            </w:pPr>
            <w:r>
              <w:rPr>
                <w:b/>
                <w:bCs/>
                <w:color w:val="FFFFFF"/>
                <w:sz w:val="18"/>
                <w:u w:color="FFFFFF"/>
              </w:rPr>
              <w:t>Tab colour</w:t>
            </w:r>
          </w:p>
        </w:tc>
        <w:tc>
          <w:tcPr>
            <w:tcW w:w="3685" w:type="dxa"/>
            <w:shd w:val="clear" w:color="auto" w:fill="002D49"/>
            <w:vAlign w:val="center"/>
          </w:tcPr>
          <w:p w14:paraId="0792048F" w14:textId="4032D237" w:rsidR="00DD5621" w:rsidRDefault="00DD5621" w:rsidP="00DD5621">
            <w:pPr>
              <w:pStyle w:val="Body"/>
              <w:keepNext/>
              <w:tabs>
                <w:tab w:val="left" w:pos="5670"/>
              </w:tabs>
              <w:spacing w:line="252" w:lineRule="auto"/>
              <w:rPr>
                <w:b/>
                <w:bCs/>
                <w:color w:val="FFFFFF"/>
                <w:sz w:val="18"/>
                <w:u w:color="FFFFFF"/>
              </w:rPr>
            </w:pPr>
            <w:r>
              <w:rPr>
                <w:b/>
                <w:bCs/>
                <w:color w:val="FFFFFF"/>
                <w:sz w:val="18"/>
                <w:u w:color="FFFFFF"/>
              </w:rPr>
              <w:t>Worksheet names</w:t>
            </w:r>
          </w:p>
        </w:tc>
        <w:tc>
          <w:tcPr>
            <w:tcW w:w="4678" w:type="dxa"/>
            <w:shd w:val="clear" w:color="auto" w:fill="002D49"/>
            <w:vAlign w:val="center"/>
          </w:tcPr>
          <w:p w14:paraId="3B0808A1" w14:textId="0694CB94" w:rsidR="00DD5621" w:rsidRPr="00DD5621" w:rsidRDefault="00DD5621" w:rsidP="00745316">
            <w:pPr>
              <w:pStyle w:val="Body"/>
              <w:keepNext/>
              <w:tabs>
                <w:tab w:val="left" w:pos="5670"/>
              </w:tabs>
              <w:spacing w:line="252" w:lineRule="auto"/>
              <w:rPr>
                <w:b/>
                <w:bCs/>
                <w:color w:val="FFFFFF"/>
                <w:sz w:val="18"/>
                <w:u w:color="FFFFFF"/>
              </w:rPr>
            </w:pPr>
            <w:r w:rsidRPr="00DD5621">
              <w:rPr>
                <w:b/>
                <w:bCs/>
                <w:color w:val="FFFFFF"/>
                <w:sz w:val="18"/>
                <w:u w:color="FFFFFF"/>
              </w:rPr>
              <w:t>Description</w:t>
            </w:r>
          </w:p>
        </w:tc>
      </w:tr>
      <w:tr w:rsidR="00DD5621" w:rsidRPr="000E6FCC" w14:paraId="158F3EC1" w14:textId="77777777" w:rsidTr="009C1BE5">
        <w:tc>
          <w:tcPr>
            <w:tcW w:w="1526" w:type="dxa"/>
          </w:tcPr>
          <w:p w14:paraId="33E601AC" w14:textId="65883414" w:rsidR="00DD5621" w:rsidRPr="000E6FCC" w:rsidRDefault="00DD5621" w:rsidP="00745316">
            <w:pPr>
              <w:pStyle w:val="Body"/>
              <w:keepNext/>
              <w:tabs>
                <w:tab w:val="left" w:pos="5670"/>
              </w:tabs>
              <w:spacing w:before="60" w:after="80" w:line="276" w:lineRule="auto"/>
              <w:rPr>
                <w:sz w:val="18"/>
              </w:rPr>
            </w:pPr>
            <w:r>
              <w:rPr>
                <w:sz w:val="18"/>
              </w:rPr>
              <w:t>Yellow</w:t>
            </w:r>
          </w:p>
        </w:tc>
        <w:tc>
          <w:tcPr>
            <w:tcW w:w="3685" w:type="dxa"/>
          </w:tcPr>
          <w:p w14:paraId="44F36663" w14:textId="118D9647" w:rsidR="00DD5621" w:rsidRPr="00C327C8" w:rsidRDefault="00DD5621" w:rsidP="004400CE">
            <w:pPr>
              <w:pStyle w:val="Body"/>
              <w:keepNext/>
              <w:tabs>
                <w:tab w:val="left" w:pos="5670"/>
              </w:tabs>
              <w:spacing w:before="60" w:after="80" w:line="276" w:lineRule="auto"/>
              <w:rPr>
                <w:sz w:val="18"/>
              </w:rPr>
            </w:pPr>
            <w:r>
              <w:rPr>
                <w:sz w:val="18"/>
              </w:rPr>
              <w:t xml:space="preserve">Cover, </w:t>
            </w:r>
            <w:r w:rsidR="004400CE">
              <w:rPr>
                <w:sz w:val="18"/>
              </w:rPr>
              <w:t>Release notice, Version notes</w:t>
            </w:r>
          </w:p>
        </w:tc>
        <w:tc>
          <w:tcPr>
            <w:tcW w:w="4678" w:type="dxa"/>
          </w:tcPr>
          <w:p w14:paraId="7EAB880C" w14:textId="3B8FF59A" w:rsidR="00DD5621" w:rsidRPr="00C327C8" w:rsidRDefault="004400CE" w:rsidP="00745316">
            <w:pPr>
              <w:pStyle w:val="Body"/>
              <w:keepNext/>
              <w:tabs>
                <w:tab w:val="left" w:pos="5670"/>
              </w:tabs>
              <w:spacing w:before="60" w:after="80" w:line="276" w:lineRule="auto"/>
              <w:rPr>
                <w:sz w:val="18"/>
              </w:rPr>
            </w:pPr>
            <w:r>
              <w:rPr>
                <w:sz w:val="18"/>
              </w:rPr>
              <w:t>EY quality assurance information</w:t>
            </w:r>
          </w:p>
        </w:tc>
      </w:tr>
      <w:tr w:rsidR="00DD5621" w:rsidRPr="000E6FCC" w14:paraId="3B22E2A6" w14:textId="77777777" w:rsidTr="009C1BE5">
        <w:tc>
          <w:tcPr>
            <w:tcW w:w="1526" w:type="dxa"/>
          </w:tcPr>
          <w:p w14:paraId="33673879" w14:textId="6B908BAE" w:rsidR="00DD5621" w:rsidRPr="000E6FCC" w:rsidRDefault="004400CE" w:rsidP="004400CE">
            <w:pPr>
              <w:pStyle w:val="Body"/>
              <w:tabs>
                <w:tab w:val="left" w:pos="5670"/>
              </w:tabs>
              <w:spacing w:before="60" w:after="80" w:line="276" w:lineRule="auto"/>
              <w:rPr>
                <w:sz w:val="18"/>
              </w:rPr>
            </w:pPr>
            <w:r>
              <w:rPr>
                <w:sz w:val="18"/>
              </w:rPr>
              <w:t>Orange</w:t>
            </w:r>
          </w:p>
        </w:tc>
        <w:tc>
          <w:tcPr>
            <w:tcW w:w="3685" w:type="dxa"/>
          </w:tcPr>
          <w:p w14:paraId="7EB763DA" w14:textId="6C6A31F8" w:rsidR="00DD5621" w:rsidRPr="00173A8A" w:rsidRDefault="004400CE" w:rsidP="00745316">
            <w:pPr>
              <w:pStyle w:val="Body"/>
              <w:tabs>
                <w:tab w:val="left" w:pos="5670"/>
              </w:tabs>
              <w:spacing w:before="60" w:after="80" w:line="276" w:lineRule="auto"/>
              <w:rPr>
                <w:sz w:val="18"/>
              </w:rPr>
            </w:pPr>
            <w:r>
              <w:rPr>
                <w:sz w:val="18"/>
              </w:rPr>
              <w:t>--- Compare options ----</w:t>
            </w:r>
          </w:p>
        </w:tc>
        <w:tc>
          <w:tcPr>
            <w:tcW w:w="4678" w:type="dxa"/>
          </w:tcPr>
          <w:p w14:paraId="232323AE" w14:textId="57292865" w:rsidR="00DD5621" w:rsidRDefault="004400CE" w:rsidP="004400CE">
            <w:pPr>
              <w:pStyle w:val="Body"/>
              <w:tabs>
                <w:tab w:val="left" w:pos="5670"/>
              </w:tabs>
              <w:spacing w:before="60" w:after="80" w:line="276" w:lineRule="auto"/>
              <w:rPr>
                <w:sz w:val="18"/>
              </w:rPr>
            </w:pPr>
            <w:r>
              <w:rPr>
                <w:sz w:val="18"/>
              </w:rPr>
              <w:t xml:space="preserve">Presents the differences in market </w:t>
            </w:r>
            <w:r w:rsidR="00E06E48">
              <w:rPr>
                <w:sz w:val="18"/>
              </w:rPr>
              <w:t>costs</w:t>
            </w:r>
            <w:r>
              <w:rPr>
                <w:sz w:val="18"/>
              </w:rPr>
              <w:t>, installed generation capacity, and generated energy between the with- and without-Marinus Link market expansion simulations.</w:t>
            </w:r>
          </w:p>
          <w:p w14:paraId="4C7C18E2" w14:textId="77777777" w:rsidR="004400CE" w:rsidRDefault="004400CE" w:rsidP="004400CE">
            <w:pPr>
              <w:pStyle w:val="Body"/>
              <w:tabs>
                <w:tab w:val="left" w:pos="5670"/>
              </w:tabs>
              <w:spacing w:before="60" w:after="80" w:line="276" w:lineRule="auto"/>
              <w:rPr>
                <w:sz w:val="18"/>
              </w:rPr>
            </w:pPr>
            <w:r>
              <w:rPr>
                <w:sz w:val="18"/>
              </w:rPr>
              <w:t>The results are presented for each year of the study.</w:t>
            </w:r>
          </w:p>
          <w:p w14:paraId="648AC7E1" w14:textId="1AA306B9" w:rsidR="00E06E48" w:rsidRPr="00173A8A" w:rsidRDefault="00E06E48" w:rsidP="00280626">
            <w:pPr>
              <w:pStyle w:val="Body"/>
              <w:tabs>
                <w:tab w:val="left" w:pos="5670"/>
              </w:tabs>
              <w:spacing w:before="60" w:after="80" w:line="276" w:lineRule="auto"/>
              <w:rPr>
                <w:sz w:val="18"/>
              </w:rPr>
            </w:pPr>
            <w:r>
              <w:rPr>
                <w:sz w:val="18"/>
              </w:rPr>
              <w:t>The difference in market costs between a with- and without-Marinus Link simulation will be the gross market benefit due to Marinus Link.</w:t>
            </w:r>
          </w:p>
        </w:tc>
      </w:tr>
      <w:tr w:rsidR="00DD5621" w:rsidRPr="000E6FCC" w14:paraId="3746209E" w14:textId="77777777" w:rsidTr="009C1BE5">
        <w:tc>
          <w:tcPr>
            <w:tcW w:w="1526" w:type="dxa"/>
          </w:tcPr>
          <w:p w14:paraId="03508AEB" w14:textId="033E5031" w:rsidR="00DD5621" w:rsidRDefault="004400CE" w:rsidP="00745316">
            <w:pPr>
              <w:pStyle w:val="Body"/>
              <w:tabs>
                <w:tab w:val="left" w:pos="5670"/>
              </w:tabs>
              <w:spacing w:before="60" w:after="80" w:line="276" w:lineRule="auto"/>
              <w:rPr>
                <w:sz w:val="18"/>
              </w:rPr>
            </w:pPr>
            <w:r>
              <w:rPr>
                <w:sz w:val="18"/>
              </w:rPr>
              <w:t>Dark green</w:t>
            </w:r>
          </w:p>
        </w:tc>
        <w:tc>
          <w:tcPr>
            <w:tcW w:w="3685" w:type="dxa"/>
          </w:tcPr>
          <w:p w14:paraId="7EC1D079" w14:textId="53714456" w:rsidR="00DD5621" w:rsidRPr="009B1801" w:rsidRDefault="004400CE" w:rsidP="00745316">
            <w:pPr>
              <w:pStyle w:val="Body"/>
              <w:tabs>
                <w:tab w:val="left" w:pos="5670"/>
              </w:tabs>
              <w:spacing w:before="60" w:after="80" w:line="276" w:lineRule="auto"/>
              <w:rPr>
                <w:sz w:val="18"/>
              </w:rPr>
            </w:pPr>
            <w:r w:rsidRPr="004400CE">
              <w:rPr>
                <w:sz w:val="18"/>
              </w:rPr>
              <w:t>StatusQuo_BaseCase_CF</w:t>
            </w:r>
            <w:r>
              <w:rPr>
                <w:sz w:val="18"/>
              </w:rPr>
              <w:t xml:space="preserve">, </w:t>
            </w:r>
            <w:r w:rsidRPr="004400CE">
              <w:rPr>
                <w:sz w:val="18"/>
              </w:rPr>
              <w:t>StatusQuo_BaseCase_Capacity</w:t>
            </w:r>
            <w:r>
              <w:rPr>
                <w:sz w:val="18"/>
              </w:rPr>
              <w:t xml:space="preserve">, </w:t>
            </w:r>
            <w:r w:rsidRPr="004400CE">
              <w:rPr>
                <w:sz w:val="18"/>
              </w:rPr>
              <w:t>StatusQuo_BaseCase_Generation</w:t>
            </w:r>
          </w:p>
        </w:tc>
        <w:tc>
          <w:tcPr>
            <w:tcW w:w="4678" w:type="dxa"/>
          </w:tcPr>
          <w:p w14:paraId="3FE7B637" w14:textId="569A16E4" w:rsidR="00DD5621" w:rsidRPr="009B1801" w:rsidRDefault="004400CE" w:rsidP="004400CE">
            <w:pPr>
              <w:pStyle w:val="Body"/>
              <w:tabs>
                <w:tab w:val="left" w:pos="5670"/>
              </w:tabs>
              <w:spacing w:before="60" w:after="80" w:line="276" w:lineRule="auto"/>
              <w:rPr>
                <w:sz w:val="18"/>
              </w:rPr>
            </w:pPr>
            <w:r>
              <w:rPr>
                <w:sz w:val="18"/>
              </w:rPr>
              <w:t>Presents model outputs for the no-Marinus Link simulation run (i.e., the base case) relating to non-cost outputs: capacity factor, installed capacity, and generated energy.</w:t>
            </w:r>
          </w:p>
        </w:tc>
      </w:tr>
      <w:tr w:rsidR="004400CE" w:rsidRPr="000E6FCC" w14:paraId="6AE64A8B" w14:textId="77777777" w:rsidTr="009C1BE5">
        <w:tc>
          <w:tcPr>
            <w:tcW w:w="1526" w:type="dxa"/>
          </w:tcPr>
          <w:p w14:paraId="505E1E1C" w14:textId="6F3AE194" w:rsidR="004400CE" w:rsidRDefault="004400CE" w:rsidP="00745316">
            <w:pPr>
              <w:pStyle w:val="Body"/>
              <w:tabs>
                <w:tab w:val="left" w:pos="5670"/>
              </w:tabs>
              <w:spacing w:before="60" w:after="80" w:line="276" w:lineRule="auto"/>
              <w:rPr>
                <w:sz w:val="18"/>
              </w:rPr>
            </w:pPr>
            <w:r>
              <w:rPr>
                <w:sz w:val="18"/>
              </w:rPr>
              <w:t>Light green</w:t>
            </w:r>
          </w:p>
        </w:tc>
        <w:tc>
          <w:tcPr>
            <w:tcW w:w="3685" w:type="dxa"/>
          </w:tcPr>
          <w:p w14:paraId="45B5F5E8" w14:textId="6E6E0F72" w:rsidR="002008B0" w:rsidRPr="009B1801" w:rsidRDefault="002008B0" w:rsidP="002008B0">
            <w:pPr>
              <w:pStyle w:val="Body"/>
              <w:tabs>
                <w:tab w:val="left" w:pos="5670"/>
              </w:tabs>
              <w:spacing w:before="60" w:after="80" w:line="276" w:lineRule="auto"/>
              <w:rPr>
                <w:sz w:val="18"/>
              </w:rPr>
            </w:pPr>
            <w:r w:rsidRPr="002008B0">
              <w:rPr>
                <w:sz w:val="18"/>
              </w:rPr>
              <w:t>StatusQuo_BaseCase_VOM Cost</w:t>
            </w:r>
            <w:r>
              <w:rPr>
                <w:sz w:val="18"/>
              </w:rPr>
              <w:t xml:space="preserve">, </w:t>
            </w:r>
            <w:r w:rsidRPr="002008B0">
              <w:rPr>
                <w:sz w:val="18"/>
              </w:rPr>
              <w:t>StatusQuo_BaseCase_FOM Cost</w:t>
            </w:r>
            <w:r>
              <w:rPr>
                <w:sz w:val="18"/>
              </w:rPr>
              <w:t xml:space="preserve">, </w:t>
            </w:r>
            <w:r w:rsidRPr="002008B0">
              <w:rPr>
                <w:sz w:val="18"/>
              </w:rPr>
              <w:t>StatusQuo_BaseCase_Fuel Cost</w:t>
            </w:r>
            <w:r>
              <w:rPr>
                <w:sz w:val="18"/>
              </w:rPr>
              <w:t xml:space="preserve">, </w:t>
            </w:r>
            <w:r w:rsidRPr="002008B0">
              <w:rPr>
                <w:sz w:val="18"/>
              </w:rPr>
              <w:t>StatusQuo_BaseCase_Build Cost</w:t>
            </w:r>
            <w:r>
              <w:rPr>
                <w:sz w:val="18"/>
              </w:rPr>
              <w:t xml:space="preserve">, </w:t>
            </w:r>
            <w:r w:rsidRPr="002008B0">
              <w:rPr>
                <w:sz w:val="18"/>
              </w:rPr>
              <w:t>StatusQuo_BaseCase_REHAB Cost</w:t>
            </w:r>
            <w:r>
              <w:rPr>
                <w:sz w:val="18"/>
              </w:rPr>
              <w:t xml:space="preserve">, </w:t>
            </w:r>
            <w:r w:rsidRPr="002008B0">
              <w:rPr>
                <w:sz w:val="18"/>
              </w:rPr>
              <w:t>StatusQuo_BaseCase_REZ Tx Cost</w:t>
            </w:r>
            <w:r>
              <w:rPr>
                <w:sz w:val="18"/>
              </w:rPr>
              <w:t xml:space="preserve">, </w:t>
            </w:r>
            <w:r w:rsidRPr="002008B0">
              <w:rPr>
                <w:sz w:val="18"/>
              </w:rPr>
              <w:t>StatusQuo_BaseCase_USE+DSP Cost</w:t>
            </w:r>
            <w:r>
              <w:rPr>
                <w:sz w:val="18"/>
              </w:rPr>
              <w:t xml:space="preserve">, </w:t>
            </w:r>
            <w:r w:rsidRPr="002008B0">
              <w:rPr>
                <w:sz w:val="18"/>
              </w:rPr>
              <w:t>StatusQuo_BaseCase_SyncCon Cost</w:t>
            </w:r>
          </w:p>
        </w:tc>
        <w:tc>
          <w:tcPr>
            <w:tcW w:w="4678" w:type="dxa"/>
          </w:tcPr>
          <w:p w14:paraId="70A7A809" w14:textId="17EFDA59" w:rsidR="004400CE" w:rsidRPr="009B1801" w:rsidRDefault="002008B0" w:rsidP="00D0578A">
            <w:pPr>
              <w:pStyle w:val="Body"/>
              <w:tabs>
                <w:tab w:val="left" w:pos="5670"/>
              </w:tabs>
              <w:spacing w:before="60" w:after="80" w:line="276" w:lineRule="auto"/>
              <w:rPr>
                <w:sz w:val="18"/>
              </w:rPr>
            </w:pPr>
            <w:r>
              <w:rPr>
                <w:sz w:val="18"/>
              </w:rPr>
              <w:t xml:space="preserve">Presents the costs associated with the </w:t>
            </w:r>
            <w:r w:rsidR="00D0578A">
              <w:rPr>
                <w:sz w:val="18"/>
              </w:rPr>
              <w:t>various categories of market benefits assessed, in the no-Marinus Link simulation run.  These worksheets are discussed in more detail below.</w:t>
            </w:r>
          </w:p>
        </w:tc>
      </w:tr>
      <w:tr w:rsidR="004400CE" w:rsidRPr="000E6FCC" w14:paraId="28A76C86" w14:textId="77777777" w:rsidTr="009C1BE5">
        <w:tc>
          <w:tcPr>
            <w:tcW w:w="1526" w:type="dxa"/>
          </w:tcPr>
          <w:p w14:paraId="5478228B" w14:textId="3C95F6AF" w:rsidR="004400CE" w:rsidRDefault="00D0578A" w:rsidP="00D0578A">
            <w:pPr>
              <w:pStyle w:val="Body"/>
              <w:tabs>
                <w:tab w:val="left" w:pos="5670"/>
              </w:tabs>
              <w:spacing w:before="60" w:after="80" w:line="276" w:lineRule="auto"/>
              <w:rPr>
                <w:sz w:val="18"/>
              </w:rPr>
            </w:pPr>
            <w:r>
              <w:rPr>
                <w:sz w:val="18"/>
              </w:rPr>
              <w:t>Dark purple</w:t>
            </w:r>
          </w:p>
        </w:tc>
        <w:tc>
          <w:tcPr>
            <w:tcW w:w="3685" w:type="dxa"/>
          </w:tcPr>
          <w:p w14:paraId="1FD20424" w14:textId="47A5F606" w:rsidR="004400CE" w:rsidRPr="009B1801" w:rsidRDefault="004400CE" w:rsidP="004400CE">
            <w:pPr>
              <w:pStyle w:val="Body"/>
              <w:tabs>
                <w:tab w:val="left" w:pos="5670"/>
              </w:tabs>
              <w:spacing w:before="60" w:after="80" w:line="276" w:lineRule="auto"/>
              <w:rPr>
                <w:sz w:val="18"/>
              </w:rPr>
            </w:pPr>
            <w:r w:rsidRPr="004400CE">
              <w:rPr>
                <w:sz w:val="18"/>
              </w:rPr>
              <w:t>StatusQuo_</w:t>
            </w:r>
            <w:r>
              <w:rPr>
                <w:sz w:val="18"/>
              </w:rPr>
              <w:t>&lt;year&gt;</w:t>
            </w:r>
            <w:r w:rsidRPr="004400CE">
              <w:rPr>
                <w:sz w:val="18"/>
              </w:rPr>
              <w:t>_CF</w:t>
            </w:r>
            <w:r>
              <w:rPr>
                <w:sz w:val="18"/>
              </w:rPr>
              <w:t xml:space="preserve">, </w:t>
            </w:r>
            <w:r w:rsidRPr="004400CE">
              <w:rPr>
                <w:sz w:val="18"/>
              </w:rPr>
              <w:t>StatusQuo_</w:t>
            </w:r>
            <w:r>
              <w:rPr>
                <w:sz w:val="18"/>
              </w:rPr>
              <w:t>&lt;year&gt;</w:t>
            </w:r>
            <w:r w:rsidRPr="004400CE">
              <w:rPr>
                <w:sz w:val="18"/>
              </w:rPr>
              <w:t>_Capacity</w:t>
            </w:r>
            <w:r>
              <w:rPr>
                <w:sz w:val="18"/>
              </w:rPr>
              <w:t xml:space="preserve">, </w:t>
            </w:r>
            <w:r w:rsidRPr="004400CE">
              <w:rPr>
                <w:sz w:val="18"/>
              </w:rPr>
              <w:t>StatusQuo_</w:t>
            </w:r>
            <w:r>
              <w:rPr>
                <w:sz w:val="18"/>
              </w:rPr>
              <w:t>&lt;year&gt;</w:t>
            </w:r>
            <w:r w:rsidRPr="004400CE">
              <w:rPr>
                <w:sz w:val="18"/>
              </w:rPr>
              <w:t>_Generation</w:t>
            </w:r>
          </w:p>
        </w:tc>
        <w:tc>
          <w:tcPr>
            <w:tcW w:w="4678" w:type="dxa"/>
          </w:tcPr>
          <w:p w14:paraId="45006A0A" w14:textId="77777777" w:rsidR="004400CE" w:rsidRDefault="004400CE" w:rsidP="004400CE">
            <w:pPr>
              <w:pStyle w:val="Body"/>
              <w:tabs>
                <w:tab w:val="left" w:pos="5670"/>
              </w:tabs>
              <w:spacing w:before="60" w:after="80" w:line="276" w:lineRule="auto"/>
              <w:rPr>
                <w:sz w:val="18"/>
              </w:rPr>
            </w:pPr>
            <w:r>
              <w:rPr>
                <w:sz w:val="18"/>
              </w:rPr>
              <w:t>Presents model outputs for the simulation run in which Marinus Link is commissioned relating to non-cost outputs: capacity factor, installed capacity, and generated energy.</w:t>
            </w:r>
          </w:p>
          <w:p w14:paraId="56F5A428" w14:textId="1E04FEF6" w:rsidR="004400CE" w:rsidRPr="009B1801" w:rsidRDefault="004400CE" w:rsidP="009C1BE5">
            <w:pPr>
              <w:pStyle w:val="Body"/>
              <w:tabs>
                <w:tab w:val="left" w:pos="5670"/>
              </w:tabs>
              <w:spacing w:before="60" w:after="80" w:line="276" w:lineRule="auto"/>
              <w:rPr>
                <w:sz w:val="18"/>
              </w:rPr>
            </w:pPr>
            <w:r>
              <w:rPr>
                <w:sz w:val="18"/>
              </w:rPr>
              <w:t xml:space="preserve">&lt;year&gt; will be either “M27_28” or “M28_32”, corresponding to the years in which </w:t>
            </w:r>
            <w:r w:rsidR="002008B0">
              <w:rPr>
                <w:sz w:val="18"/>
              </w:rPr>
              <w:t>the stages of Marinus Link are commissioned.</w:t>
            </w:r>
            <w:r w:rsidR="009C1BE5">
              <w:rPr>
                <w:sz w:val="18"/>
              </w:rPr>
              <w:t xml:space="preserve"> Each file corresponds to one &lt;year&gt; option.</w:t>
            </w:r>
          </w:p>
        </w:tc>
      </w:tr>
      <w:tr w:rsidR="00D0578A" w:rsidRPr="000E6FCC" w14:paraId="6EFE2D50" w14:textId="77777777" w:rsidTr="009C1BE5">
        <w:tc>
          <w:tcPr>
            <w:tcW w:w="1526" w:type="dxa"/>
          </w:tcPr>
          <w:p w14:paraId="1F087C83" w14:textId="16C83C0D" w:rsidR="00D0578A" w:rsidRDefault="00D0578A" w:rsidP="00745316">
            <w:pPr>
              <w:pStyle w:val="Body"/>
              <w:tabs>
                <w:tab w:val="left" w:pos="5670"/>
              </w:tabs>
              <w:spacing w:before="60" w:after="80" w:line="276" w:lineRule="auto"/>
              <w:rPr>
                <w:sz w:val="18"/>
              </w:rPr>
            </w:pPr>
            <w:r>
              <w:rPr>
                <w:sz w:val="18"/>
              </w:rPr>
              <w:t>Light purple</w:t>
            </w:r>
          </w:p>
        </w:tc>
        <w:tc>
          <w:tcPr>
            <w:tcW w:w="3685" w:type="dxa"/>
          </w:tcPr>
          <w:p w14:paraId="239D6052" w14:textId="6E58690B" w:rsidR="00D0578A" w:rsidRPr="004400CE" w:rsidRDefault="00D0578A" w:rsidP="004400CE">
            <w:pPr>
              <w:pStyle w:val="Body"/>
              <w:tabs>
                <w:tab w:val="left" w:pos="5670"/>
              </w:tabs>
              <w:spacing w:before="60" w:after="80" w:line="276" w:lineRule="auto"/>
              <w:rPr>
                <w:sz w:val="18"/>
              </w:rPr>
            </w:pPr>
            <w:r w:rsidRPr="002008B0">
              <w:rPr>
                <w:sz w:val="18"/>
              </w:rPr>
              <w:t>StatusQuo_</w:t>
            </w:r>
            <w:r>
              <w:rPr>
                <w:sz w:val="18"/>
              </w:rPr>
              <w:t>&lt;year&gt;</w:t>
            </w:r>
            <w:r w:rsidRPr="002008B0">
              <w:rPr>
                <w:sz w:val="18"/>
              </w:rPr>
              <w:t>_VOM Cost</w:t>
            </w:r>
            <w:r>
              <w:rPr>
                <w:sz w:val="18"/>
              </w:rPr>
              <w:t xml:space="preserve">, </w:t>
            </w:r>
            <w:r w:rsidRPr="002008B0">
              <w:rPr>
                <w:sz w:val="18"/>
              </w:rPr>
              <w:t>StatusQuo_</w:t>
            </w:r>
            <w:r>
              <w:rPr>
                <w:sz w:val="18"/>
              </w:rPr>
              <w:t>&lt;year&gt;</w:t>
            </w:r>
            <w:r w:rsidRPr="002008B0">
              <w:rPr>
                <w:sz w:val="18"/>
              </w:rPr>
              <w:t>_FOM Cost</w:t>
            </w:r>
            <w:r>
              <w:rPr>
                <w:sz w:val="18"/>
              </w:rPr>
              <w:t xml:space="preserve">, </w:t>
            </w:r>
            <w:r w:rsidRPr="002008B0">
              <w:rPr>
                <w:sz w:val="18"/>
              </w:rPr>
              <w:t>StatusQuo_</w:t>
            </w:r>
            <w:r>
              <w:rPr>
                <w:sz w:val="18"/>
              </w:rPr>
              <w:t>&lt;year&gt;</w:t>
            </w:r>
            <w:r w:rsidRPr="002008B0">
              <w:rPr>
                <w:sz w:val="18"/>
              </w:rPr>
              <w:t>_Fuel Cost</w:t>
            </w:r>
            <w:r>
              <w:rPr>
                <w:sz w:val="18"/>
              </w:rPr>
              <w:t xml:space="preserve">, </w:t>
            </w:r>
            <w:r w:rsidRPr="002008B0">
              <w:rPr>
                <w:sz w:val="18"/>
              </w:rPr>
              <w:t>StatusQuo_</w:t>
            </w:r>
            <w:r>
              <w:rPr>
                <w:sz w:val="18"/>
              </w:rPr>
              <w:t>&lt;year&gt;</w:t>
            </w:r>
            <w:r w:rsidRPr="002008B0">
              <w:rPr>
                <w:sz w:val="18"/>
              </w:rPr>
              <w:t>_Build Cost</w:t>
            </w:r>
            <w:r>
              <w:rPr>
                <w:sz w:val="18"/>
              </w:rPr>
              <w:t xml:space="preserve">, </w:t>
            </w:r>
            <w:r w:rsidRPr="002008B0">
              <w:rPr>
                <w:sz w:val="18"/>
              </w:rPr>
              <w:t>StatusQuo_</w:t>
            </w:r>
            <w:r>
              <w:rPr>
                <w:sz w:val="18"/>
              </w:rPr>
              <w:t>&lt;year&gt;</w:t>
            </w:r>
            <w:r w:rsidRPr="002008B0">
              <w:rPr>
                <w:sz w:val="18"/>
              </w:rPr>
              <w:t>_REHAB Cost</w:t>
            </w:r>
            <w:r>
              <w:rPr>
                <w:sz w:val="18"/>
              </w:rPr>
              <w:t xml:space="preserve">, </w:t>
            </w:r>
            <w:r w:rsidRPr="002008B0">
              <w:rPr>
                <w:sz w:val="18"/>
              </w:rPr>
              <w:t>StatusQuo_</w:t>
            </w:r>
            <w:r>
              <w:rPr>
                <w:sz w:val="18"/>
              </w:rPr>
              <w:t>&lt;year&gt;</w:t>
            </w:r>
            <w:r w:rsidRPr="002008B0">
              <w:rPr>
                <w:sz w:val="18"/>
              </w:rPr>
              <w:t>_REZ Tx Cost</w:t>
            </w:r>
            <w:r>
              <w:rPr>
                <w:sz w:val="18"/>
              </w:rPr>
              <w:t xml:space="preserve">, </w:t>
            </w:r>
            <w:r w:rsidRPr="002008B0">
              <w:rPr>
                <w:sz w:val="18"/>
              </w:rPr>
              <w:t>StatusQuo_</w:t>
            </w:r>
            <w:r>
              <w:rPr>
                <w:sz w:val="18"/>
              </w:rPr>
              <w:t>&lt;year&gt;</w:t>
            </w:r>
            <w:r w:rsidRPr="002008B0">
              <w:rPr>
                <w:sz w:val="18"/>
              </w:rPr>
              <w:t>_USE+DSP Cost</w:t>
            </w:r>
            <w:r>
              <w:rPr>
                <w:sz w:val="18"/>
              </w:rPr>
              <w:t xml:space="preserve">, </w:t>
            </w:r>
            <w:r w:rsidRPr="002008B0">
              <w:rPr>
                <w:sz w:val="18"/>
              </w:rPr>
              <w:t>StatusQuo_</w:t>
            </w:r>
            <w:r>
              <w:rPr>
                <w:sz w:val="18"/>
              </w:rPr>
              <w:t>&lt;year&gt;</w:t>
            </w:r>
            <w:r w:rsidRPr="002008B0">
              <w:rPr>
                <w:sz w:val="18"/>
              </w:rPr>
              <w:t>_SyncCon Cost</w:t>
            </w:r>
          </w:p>
        </w:tc>
        <w:tc>
          <w:tcPr>
            <w:tcW w:w="4678" w:type="dxa"/>
          </w:tcPr>
          <w:p w14:paraId="2470B7A2" w14:textId="28591143" w:rsidR="00D0578A" w:rsidRDefault="00D0578A" w:rsidP="004400CE">
            <w:pPr>
              <w:pStyle w:val="Body"/>
              <w:tabs>
                <w:tab w:val="left" w:pos="5670"/>
              </w:tabs>
              <w:spacing w:before="60" w:after="80" w:line="276" w:lineRule="auto"/>
              <w:rPr>
                <w:sz w:val="18"/>
              </w:rPr>
            </w:pPr>
            <w:r>
              <w:rPr>
                <w:sz w:val="18"/>
              </w:rPr>
              <w:t>Presents the costs associated with the various categories of market benefits assessed, in the simulation run in which Marinus Link is commissioned. These worksheets are discussed in more detail below.</w:t>
            </w:r>
          </w:p>
          <w:p w14:paraId="6784DC24" w14:textId="685AD5D2" w:rsidR="00D0578A" w:rsidRDefault="00D0578A" w:rsidP="004400CE">
            <w:pPr>
              <w:pStyle w:val="Body"/>
              <w:tabs>
                <w:tab w:val="left" w:pos="5670"/>
              </w:tabs>
              <w:spacing w:before="60" w:after="80" w:line="276" w:lineRule="auto"/>
              <w:rPr>
                <w:sz w:val="18"/>
              </w:rPr>
            </w:pPr>
            <w:r>
              <w:rPr>
                <w:sz w:val="18"/>
              </w:rPr>
              <w:t>&lt;year&gt; will be either “M27_28” or “M28_32”, corresponding to the years in which the stages of Marinus Link are commissioned.</w:t>
            </w:r>
            <w:r w:rsidR="009C1BE5">
              <w:rPr>
                <w:sz w:val="18"/>
              </w:rPr>
              <w:t xml:space="preserve"> Each file corresponds to one &lt;year&gt; option.</w:t>
            </w:r>
          </w:p>
        </w:tc>
      </w:tr>
    </w:tbl>
    <w:p w14:paraId="0C9ED199" w14:textId="77777777" w:rsidR="00DD5621" w:rsidRPr="00DD5621" w:rsidRDefault="00DD5621" w:rsidP="00DD5621">
      <w:pPr>
        <w:rPr>
          <w:lang w:val="en-AU"/>
        </w:rPr>
      </w:pPr>
    </w:p>
    <w:p w14:paraId="1501B42D" w14:textId="1BDB263C" w:rsidR="00DD5621" w:rsidRDefault="00D0578A" w:rsidP="009C1BE5">
      <w:pPr>
        <w:keepNext/>
        <w:rPr>
          <w:lang w:val="en-AU"/>
        </w:rPr>
      </w:pPr>
      <w:r>
        <w:rPr>
          <w:lang w:val="en-AU"/>
        </w:rPr>
        <w:lastRenderedPageBreak/>
        <w:t>Each “costs” worksheet provides the costs associated with a particular element:</w:t>
      </w:r>
    </w:p>
    <w:p w14:paraId="1386356E" w14:textId="02AD149B" w:rsidR="00D0578A" w:rsidRDefault="00D0578A" w:rsidP="000A2AF0">
      <w:pPr>
        <w:pStyle w:val="ListBullet"/>
        <w:ind w:left="720"/>
        <w:rPr>
          <w:lang w:val="en-AU"/>
        </w:rPr>
      </w:pPr>
      <w:r>
        <w:rPr>
          <w:lang w:val="en-AU"/>
        </w:rPr>
        <w:t>VOM = variable operating and maintenance costs</w:t>
      </w:r>
      <w:r w:rsidR="00A86DB0">
        <w:rPr>
          <w:lang w:val="en-AU"/>
        </w:rPr>
        <w:t xml:space="preserve"> (i.e. costs per unit of energy generated)</w:t>
      </w:r>
    </w:p>
    <w:p w14:paraId="77B7FB32" w14:textId="7FD0EAD3" w:rsidR="00A86DB0" w:rsidRDefault="00A86DB0" w:rsidP="000A2AF0">
      <w:pPr>
        <w:pStyle w:val="ListBullet"/>
        <w:ind w:left="720"/>
        <w:rPr>
          <w:lang w:val="en-AU"/>
        </w:rPr>
      </w:pPr>
      <w:r>
        <w:rPr>
          <w:lang w:val="en-AU"/>
        </w:rPr>
        <w:t xml:space="preserve">FOM = fixed operating and maintenance costs (i.e. costs per unit of </w:t>
      </w:r>
      <w:r w:rsidR="009C1BE5">
        <w:rPr>
          <w:lang w:val="en-AU"/>
        </w:rPr>
        <w:t xml:space="preserve">installed </w:t>
      </w:r>
      <w:r>
        <w:rPr>
          <w:lang w:val="en-AU"/>
        </w:rPr>
        <w:t>generating capacity)</w:t>
      </w:r>
    </w:p>
    <w:p w14:paraId="341989D5" w14:textId="62E65FA4" w:rsidR="00A86DB0" w:rsidRDefault="00A86DB0" w:rsidP="000A2AF0">
      <w:pPr>
        <w:pStyle w:val="ListBullet"/>
        <w:ind w:left="720"/>
        <w:rPr>
          <w:lang w:val="en-AU"/>
        </w:rPr>
      </w:pPr>
      <w:r>
        <w:rPr>
          <w:lang w:val="en-AU"/>
        </w:rPr>
        <w:t>Fuel = fuel costs (coal or gas costs; zero for hydro, wind and solar generation)</w:t>
      </w:r>
    </w:p>
    <w:p w14:paraId="3AF014AF" w14:textId="55564EEE" w:rsidR="00A86DB0" w:rsidRDefault="00A86DB0" w:rsidP="000A2AF0">
      <w:pPr>
        <w:pStyle w:val="ListBullet"/>
        <w:ind w:left="720"/>
        <w:rPr>
          <w:lang w:val="en-AU"/>
        </w:rPr>
      </w:pPr>
      <w:r>
        <w:rPr>
          <w:lang w:val="en-AU"/>
        </w:rPr>
        <w:t>Build = capital costs to build new generating or storage plant, annualised over the life of the plant.</w:t>
      </w:r>
    </w:p>
    <w:p w14:paraId="0994DD46" w14:textId="05EEED03" w:rsidR="00A86DB0" w:rsidRDefault="00A86DB0" w:rsidP="000A2AF0">
      <w:pPr>
        <w:pStyle w:val="ListBullet"/>
        <w:ind w:left="720"/>
        <w:rPr>
          <w:lang w:val="en-AU"/>
        </w:rPr>
      </w:pPr>
      <w:r>
        <w:rPr>
          <w:lang w:val="en-AU"/>
        </w:rPr>
        <w:t>REHAB = cost to decommission generating plant</w:t>
      </w:r>
      <w:r w:rsidR="009C1BE5">
        <w:rPr>
          <w:lang w:val="en-AU"/>
        </w:rPr>
        <w:t xml:space="preserve"> (rehabilitation cost)</w:t>
      </w:r>
      <w:r>
        <w:rPr>
          <w:lang w:val="en-AU"/>
        </w:rPr>
        <w:t>. Generating plant will be decommissioned either when it reaches its forecast end of life, or if the model elects to retire the plant early on the basis that this will yield a lower overall cost to the NEM.</w:t>
      </w:r>
    </w:p>
    <w:p w14:paraId="3ABAC4C9" w14:textId="7E100AED" w:rsidR="00A86DB0" w:rsidRDefault="00A86DB0" w:rsidP="000A2AF0">
      <w:pPr>
        <w:pStyle w:val="ListBullet"/>
        <w:ind w:left="720"/>
        <w:rPr>
          <w:lang w:val="en-AU"/>
        </w:rPr>
      </w:pPr>
      <w:r>
        <w:rPr>
          <w:lang w:val="en-AU"/>
        </w:rPr>
        <w:t>REZ Tx = cost to expand transmission to connect a renewable energy zone hub</w:t>
      </w:r>
      <w:r w:rsidR="000A2AF0">
        <w:rPr>
          <w:lang w:val="en-AU"/>
        </w:rPr>
        <w:t>.</w:t>
      </w:r>
    </w:p>
    <w:p w14:paraId="399D0A39" w14:textId="0C65966B" w:rsidR="00A86DB0" w:rsidRDefault="00A86DB0" w:rsidP="000A2AF0">
      <w:pPr>
        <w:pStyle w:val="ListBullet"/>
        <w:ind w:left="720"/>
        <w:rPr>
          <w:lang w:val="en-AU"/>
        </w:rPr>
      </w:pPr>
      <w:r>
        <w:rPr>
          <w:lang w:val="en-AU"/>
        </w:rPr>
        <w:t xml:space="preserve">USE+DSP = cost of curtailed load, </w:t>
      </w:r>
      <w:r w:rsidR="000A2AF0">
        <w:rPr>
          <w:lang w:val="en-AU"/>
        </w:rPr>
        <w:t xml:space="preserve">either involuntary </w:t>
      </w:r>
      <w:r>
        <w:rPr>
          <w:lang w:val="en-AU"/>
        </w:rPr>
        <w:t xml:space="preserve">unserved energy (USE) </w:t>
      </w:r>
      <w:r w:rsidR="000A2AF0">
        <w:rPr>
          <w:lang w:val="en-AU"/>
        </w:rPr>
        <w:t xml:space="preserve">or voluntary </w:t>
      </w:r>
      <w:r>
        <w:rPr>
          <w:lang w:val="en-AU"/>
        </w:rPr>
        <w:t xml:space="preserve">demand side </w:t>
      </w:r>
      <w:r w:rsidR="000A2AF0">
        <w:rPr>
          <w:lang w:val="en-AU"/>
        </w:rPr>
        <w:t xml:space="preserve">reduction </w:t>
      </w:r>
      <w:r>
        <w:rPr>
          <w:lang w:val="en-AU"/>
        </w:rPr>
        <w:t>(DSP)</w:t>
      </w:r>
      <w:r w:rsidR="000A2AF0">
        <w:rPr>
          <w:lang w:val="en-AU"/>
        </w:rPr>
        <w:t>.</w:t>
      </w:r>
    </w:p>
    <w:p w14:paraId="30483CE5" w14:textId="35BDFEE5" w:rsidR="000A2AF0" w:rsidRDefault="000A2AF0" w:rsidP="000A2AF0">
      <w:pPr>
        <w:pStyle w:val="ListBullet"/>
        <w:ind w:left="720"/>
        <w:rPr>
          <w:lang w:val="en-AU"/>
        </w:rPr>
      </w:pPr>
      <w:r>
        <w:rPr>
          <w:lang w:val="en-AU"/>
        </w:rPr>
        <w:t>SyncCon = the cost to run generators as synchronous condensers to provide inertia support, in order to meet the minimum inertia constraints implemented in the market expansion model.</w:t>
      </w:r>
    </w:p>
    <w:p w14:paraId="1BD0CF6F" w14:textId="0836546C" w:rsidR="000A2AF0" w:rsidRDefault="000A2AF0" w:rsidP="000A2AF0">
      <w:pPr>
        <w:pStyle w:val="ListBullet"/>
        <w:rPr>
          <w:lang w:val="en-AU"/>
        </w:rPr>
      </w:pPr>
      <w:r>
        <w:rPr>
          <w:lang w:val="en-AU"/>
        </w:rPr>
        <w:t>The cost categories VOM, FOM, Fuel, Build, and REHAB are broken down into NEM regions, then further broken down by generating and storage technology types. REZ Tx and USE+DSP are broken down by NEM region only, as these are not associated with particular generating and storage technologies.</w:t>
      </w:r>
    </w:p>
    <w:p w14:paraId="275179E5" w14:textId="35183744" w:rsidR="000A2AF0" w:rsidRDefault="000A2AF0" w:rsidP="000A2AF0">
      <w:pPr>
        <w:pStyle w:val="ListBullet"/>
        <w:rPr>
          <w:lang w:val="en-AU"/>
        </w:rPr>
      </w:pPr>
      <w:r>
        <w:rPr>
          <w:lang w:val="en-AU"/>
        </w:rPr>
        <w:t>Sync</w:t>
      </w:r>
      <w:r w:rsidR="000A3BBB">
        <w:rPr>
          <w:lang w:val="en-AU"/>
        </w:rPr>
        <w:t>hronous condenser costs apply to Tasmania only, as this is the only region in which the inertia constraint has a material impact.</w:t>
      </w:r>
    </w:p>
    <w:p w14:paraId="7D0D0397" w14:textId="4E4F413C" w:rsidR="000A3BBB" w:rsidRDefault="000A3BBB" w:rsidP="000A2AF0">
      <w:pPr>
        <w:pStyle w:val="ListBullet"/>
        <w:rPr>
          <w:lang w:val="en-AU"/>
        </w:rPr>
      </w:pPr>
      <w:r>
        <w:rPr>
          <w:lang w:val="en-AU"/>
        </w:rPr>
        <w:t>All costs are discounted to the year 2025, using a 5.9% discount rate.</w:t>
      </w:r>
      <w:r w:rsidR="009C1BE5">
        <w:rPr>
          <w:rStyle w:val="FootnoteReference"/>
          <w:lang w:val="en-AU"/>
        </w:rPr>
        <w:footnoteReference w:id="2"/>
      </w:r>
      <w:r w:rsidR="009C1BE5">
        <w:rPr>
          <w:lang w:val="en-AU"/>
        </w:rPr>
        <w:t xml:space="preserve"> </w:t>
      </w:r>
    </w:p>
    <w:p w14:paraId="1C70ABB4" w14:textId="32B681EF" w:rsidR="000A3BBB" w:rsidRDefault="000A3BBB" w:rsidP="000A2AF0">
      <w:pPr>
        <w:pStyle w:val="ListBullet"/>
        <w:rPr>
          <w:lang w:val="en-AU"/>
        </w:rPr>
      </w:pPr>
      <w:r>
        <w:rPr>
          <w:lang w:val="en-AU"/>
        </w:rPr>
        <w:t xml:space="preserve">The sum of all eight cost components will be the forecast total cost to supply the NEM over the modelling period. The light green tabs represent these cost categories in a market expansion simulation </w:t>
      </w:r>
      <w:r w:rsidRPr="000A3BBB">
        <w:rPr>
          <w:lang w:val="en-AU"/>
        </w:rPr>
        <w:t>without</w:t>
      </w:r>
      <w:r>
        <w:rPr>
          <w:lang w:val="en-AU"/>
        </w:rPr>
        <w:t xml:space="preserve"> Marinus Link installed. Summing the costs from the eight light-green tabs is therefore the forecast cost of supply without Marinus Link. Similarly, summing the costs from the eight light purple tabs (i.e. the simulation run when Marinus Link is installed) will yield the forecast total cost to supply the NEM</w:t>
      </w:r>
      <w:r w:rsidR="00F403E6">
        <w:rPr>
          <w:lang w:val="en-AU"/>
        </w:rPr>
        <w:t xml:space="preserve"> if Marinus Link is present. </w:t>
      </w:r>
      <w:r w:rsidR="00F403E6" w:rsidRPr="00F403E6">
        <w:rPr>
          <w:lang w:val="en-AU"/>
        </w:rPr>
        <w:t>The difference between these two totals is the gross market benefit of Marinus Link.</w:t>
      </w:r>
    </w:p>
    <w:sectPr w:rsidR="000A3BBB" w:rsidSect="00655E41">
      <w:headerReference w:type="default" r:id="rId14"/>
      <w:footerReference w:type="default" r:id="rId15"/>
      <w:pgSz w:w="11907" w:h="16840" w:code="9"/>
      <w:pgMar w:top="1134" w:right="1134" w:bottom="1134" w:left="1134" w:header="1644" w:footer="90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D0642" w14:textId="77777777" w:rsidR="003B52C0" w:rsidRDefault="003B52C0" w:rsidP="004104F6">
      <w:r>
        <w:separator/>
      </w:r>
    </w:p>
    <w:p w14:paraId="2555FD80" w14:textId="77777777" w:rsidR="003B52C0" w:rsidRDefault="003B52C0" w:rsidP="004104F6"/>
  </w:endnote>
  <w:endnote w:type="continuationSeparator" w:id="0">
    <w:p w14:paraId="443C9F2B" w14:textId="77777777" w:rsidR="003B52C0" w:rsidRDefault="003B52C0" w:rsidP="004104F6">
      <w:r>
        <w:continuationSeparator/>
      </w:r>
    </w:p>
    <w:p w14:paraId="64B30E9C" w14:textId="77777777" w:rsidR="003B52C0" w:rsidRDefault="003B52C0" w:rsidP="004104F6"/>
  </w:endnote>
  <w:endnote w:type="continuationNotice" w:id="1">
    <w:p w14:paraId="0CAED94F" w14:textId="77777777" w:rsidR="003B52C0" w:rsidRDefault="003B52C0" w:rsidP="004104F6"/>
    <w:p w14:paraId="2AD35450" w14:textId="77777777" w:rsidR="003B52C0" w:rsidRDefault="003B52C0" w:rsidP="00410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62102" w14:textId="77777777" w:rsidR="00946B71" w:rsidRPr="00F54CC2" w:rsidRDefault="00DA5A3E" w:rsidP="003931E5">
    <w:pPr>
      <w:pStyle w:val="Footer"/>
      <w:jc w:val="center"/>
    </w:pPr>
    <w:r>
      <w:rPr>
        <w:noProof/>
        <w:lang w:val="en-AU" w:eastAsia="en-AU"/>
      </w:rPr>
      <mc:AlternateContent>
        <mc:Choice Requires="wps">
          <w:drawing>
            <wp:anchor distT="45720" distB="45720" distL="114300" distR="114300" simplePos="0" relativeHeight="251657216" behindDoc="0" locked="0" layoutInCell="1" allowOverlap="1" wp14:anchorId="75C4D71A" wp14:editId="1B7D00E0">
              <wp:simplePos x="0" y="0"/>
              <wp:positionH relativeFrom="rightMargin">
                <wp:posOffset>-1255282</wp:posOffset>
              </wp:positionH>
              <wp:positionV relativeFrom="bottomMargin">
                <wp:posOffset>198755</wp:posOffset>
              </wp:positionV>
              <wp:extent cx="1256400" cy="342000"/>
              <wp:effectExtent l="0" t="0" r="127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400" cy="342000"/>
                      </a:xfrm>
                      <a:prstGeom prst="rect">
                        <a:avLst/>
                      </a:prstGeom>
                      <a:solidFill>
                        <a:srgbClr val="FFFFFF"/>
                      </a:solidFill>
                      <a:ln w="9525">
                        <a:noFill/>
                        <a:miter lim="800000"/>
                        <a:headEnd/>
                        <a:tailEnd/>
                      </a:ln>
                    </wps:spPr>
                    <wps:txbx>
                      <w:txbxContent>
                        <w:p w14:paraId="1324380C" w14:textId="4DEFC99A" w:rsidR="003931E5" w:rsidRPr="007C38B4" w:rsidRDefault="003931E5" w:rsidP="003931E5">
                          <w:pPr>
                            <w:jc w:val="right"/>
                            <w:rPr>
                              <w:rFonts w:ascii="Century Gothic" w:hAnsi="Century Gothic"/>
                              <w:color w:val="BFBFBF" w:themeColor="background1" w:themeShade="BF"/>
                              <w:sz w:val="16"/>
                              <w:szCs w:val="16"/>
                            </w:rPr>
                          </w:pPr>
                          <w:r w:rsidRPr="007C38B4">
                            <w:rPr>
                              <w:rFonts w:ascii="Century Gothic" w:hAnsi="Century Gothic"/>
                              <w:color w:val="BFBFBF" w:themeColor="background1" w:themeShade="BF"/>
                              <w:sz w:val="16"/>
                              <w:szCs w:val="16"/>
                            </w:rPr>
                            <w:t xml:space="preserve">Page </w:t>
                          </w:r>
                          <w:r w:rsidRPr="007C38B4">
                            <w:rPr>
                              <w:rFonts w:ascii="Century Gothic" w:hAnsi="Century Gothic"/>
                              <w:color w:val="BFBFBF" w:themeColor="background1" w:themeShade="BF"/>
                              <w:sz w:val="16"/>
                              <w:szCs w:val="16"/>
                            </w:rPr>
                            <w:fldChar w:fldCharType="begin"/>
                          </w:r>
                          <w:r w:rsidRPr="007C38B4">
                            <w:rPr>
                              <w:rFonts w:ascii="Century Gothic" w:hAnsi="Century Gothic"/>
                              <w:color w:val="BFBFBF" w:themeColor="background1" w:themeShade="BF"/>
                              <w:sz w:val="16"/>
                              <w:szCs w:val="16"/>
                            </w:rPr>
                            <w:instrText xml:space="preserve"> PAGE </w:instrText>
                          </w:r>
                          <w:r w:rsidRPr="007C38B4">
                            <w:rPr>
                              <w:rFonts w:ascii="Century Gothic" w:hAnsi="Century Gothic"/>
                              <w:color w:val="BFBFBF" w:themeColor="background1" w:themeShade="BF"/>
                              <w:sz w:val="16"/>
                              <w:szCs w:val="16"/>
                            </w:rPr>
                            <w:fldChar w:fldCharType="separate"/>
                          </w:r>
                          <w:r w:rsidR="00FC514C">
                            <w:rPr>
                              <w:rFonts w:ascii="Century Gothic" w:hAnsi="Century Gothic"/>
                              <w:noProof/>
                              <w:color w:val="BFBFBF" w:themeColor="background1" w:themeShade="BF"/>
                              <w:sz w:val="16"/>
                              <w:szCs w:val="16"/>
                            </w:rPr>
                            <w:t>1</w:t>
                          </w:r>
                          <w:r w:rsidRPr="007C38B4">
                            <w:rPr>
                              <w:rFonts w:ascii="Century Gothic" w:hAnsi="Century Gothic"/>
                              <w:color w:val="BFBFBF" w:themeColor="background1" w:themeShade="BF"/>
                              <w:sz w:val="16"/>
                              <w:szCs w:val="16"/>
                            </w:rPr>
                            <w:fldChar w:fldCharType="end"/>
                          </w:r>
                          <w:r w:rsidRPr="007C38B4">
                            <w:rPr>
                              <w:rFonts w:ascii="Century Gothic" w:hAnsi="Century Gothic"/>
                              <w:color w:val="BFBFBF" w:themeColor="background1" w:themeShade="BF"/>
                              <w:sz w:val="16"/>
                              <w:szCs w:val="16"/>
                            </w:rPr>
                            <w:t xml:space="preserve"> of </w:t>
                          </w:r>
                          <w:r w:rsidRPr="007C38B4">
                            <w:rPr>
                              <w:rFonts w:ascii="Century Gothic" w:hAnsi="Century Gothic"/>
                              <w:color w:val="BFBFBF" w:themeColor="background1" w:themeShade="BF"/>
                              <w:sz w:val="16"/>
                              <w:szCs w:val="16"/>
                            </w:rPr>
                            <w:fldChar w:fldCharType="begin"/>
                          </w:r>
                          <w:r w:rsidRPr="007C38B4">
                            <w:rPr>
                              <w:rFonts w:ascii="Century Gothic" w:hAnsi="Century Gothic"/>
                              <w:color w:val="BFBFBF" w:themeColor="background1" w:themeShade="BF"/>
                              <w:sz w:val="16"/>
                              <w:szCs w:val="16"/>
                            </w:rPr>
                            <w:instrText xml:space="preserve"> NUMPAGES </w:instrText>
                          </w:r>
                          <w:r w:rsidRPr="007C38B4">
                            <w:rPr>
                              <w:rFonts w:ascii="Century Gothic" w:hAnsi="Century Gothic"/>
                              <w:color w:val="BFBFBF" w:themeColor="background1" w:themeShade="BF"/>
                              <w:sz w:val="16"/>
                              <w:szCs w:val="16"/>
                            </w:rPr>
                            <w:fldChar w:fldCharType="separate"/>
                          </w:r>
                          <w:r w:rsidR="00FC514C">
                            <w:rPr>
                              <w:rFonts w:ascii="Century Gothic" w:hAnsi="Century Gothic"/>
                              <w:noProof/>
                              <w:color w:val="BFBFBF" w:themeColor="background1" w:themeShade="BF"/>
                              <w:sz w:val="16"/>
                              <w:szCs w:val="16"/>
                            </w:rPr>
                            <w:t>3</w:t>
                          </w:r>
                          <w:r w:rsidRPr="007C38B4">
                            <w:rPr>
                              <w:rFonts w:ascii="Century Gothic" w:hAnsi="Century Gothic"/>
                              <w:color w:val="BFBFBF" w:themeColor="background1" w:themeShade="B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C4D71A" id="_x0000_t202" coordsize="21600,21600" o:spt="202" path="m,l,21600r21600,l21600,xe">
              <v:stroke joinstyle="miter"/>
              <v:path gradientshapeok="t" o:connecttype="rect"/>
            </v:shapetype>
            <v:shape id="Text Box 2" o:spid="_x0000_s1026" type="#_x0000_t202" style="position:absolute;left:0;text-align:left;margin-left:-98.85pt;margin-top:15.65pt;width:98.95pt;height:26.95pt;z-index:25165721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" stroked="f">
              <v:textbox>
                <w:txbxContent>
                  <w:p w14:paraId="1324380C" w14:textId="4DEFC99A" w:rsidR="003931E5" w:rsidRPr="007C38B4" w:rsidRDefault="003931E5" w:rsidP="003931E5">
                    <w:pPr>
                      <w:jc w:val="right"/>
                      <w:rPr>
                        <w:rFonts w:ascii="Century Gothic" w:hAnsi="Century Gothic"/>
                        <w:color w:val="BFBFBF" w:themeColor="background1" w:themeShade="BF"/>
                        <w:sz w:val="16"/>
                        <w:szCs w:val="16"/>
                      </w:rPr>
                    </w:pPr>
                    <w:r w:rsidRPr="007C38B4">
                      <w:rPr>
                        <w:rFonts w:ascii="Century Gothic" w:hAnsi="Century Gothic"/>
                        <w:color w:val="BFBFBF" w:themeColor="background1" w:themeShade="BF"/>
                        <w:sz w:val="16"/>
                        <w:szCs w:val="16"/>
                      </w:rPr>
                      <w:t xml:space="preserve">Page </w:t>
                    </w:r>
                    <w:r w:rsidRPr="007C38B4">
                      <w:rPr>
                        <w:rFonts w:ascii="Century Gothic" w:hAnsi="Century Gothic"/>
                        <w:color w:val="BFBFBF" w:themeColor="background1" w:themeShade="BF"/>
                        <w:sz w:val="16"/>
                        <w:szCs w:val="16"/>
                      </w:rPr>
                      <w:fldChar w:fldCharType="begin"/>
                    </w:r>
                    <w:r w:rsidRPr="007C38B4">
                      <w:rPr>
                        <w:rFonts w:ascii="Century Gothic" w:hAnsi="Century Gothic"/>
                        <w:color w:val="BFBFBF" w:themeColor="background1" w:themeShade="BF"/>
                        <w:sz w:val="16"/>
                        <w:szCs w:val="16"/>
                      </w:rPr>
                      <w:instrText xml:space="preserve"> PAGE </w:instrText>
                    </w:r>
                    <w:r w:rsidRPr="007C38B4">
                      <w:rPr>
                        <w:rFonts w:ascii="Century Gothic" w:hAnsi="Century Gothic"/>
                        <w:color w:val="BFBFBF" w:themeColor="background1" w:themeShade="BF"/>
                        <w:sz w:val="16"/>
                        <w:szCs w:val="16"/>
                      </w:rPr>
                      <w:fldChar w:fldCharType="separate"/>
                    </w:r>
                    <w:r w:rsidR="00FC514C">
                      <w:rPr>
                        <w:rFonts w:ascii="Century Gothic" w:hAnsi="Century Gothic"/>
                        <w:noProof/>
                        <w:color w:val="BFBFBF" w:themeColor="background1" w:themeShade="BF"/>
                        <w:sz w:val="16"/>
                        <w:szCs w:val="16"/>
                      </w:rPr>
                      <w:t>1</w:t>
                    </w:r>
                    <w:r w:rsidRPr="007C38B4">
                      <w:rPr>
                        <w:rFonts w:ascii="Century Gothic" w:hAnsi="Century Gothic"/>
                        <w:color w:val="BFBFBF" w:themeColor="background1" w:themeShade="BF"/>
                        <w:sz w:val="16"/>
                        <w:szCs w:val="16"/>
                      </w:rPr>
                      <w:fldChar w:fldCharType="end"/>
                    </w:r>
                    <w:r w:rsidRPr="007C38B4">
                      <w:rPr>
                        <w:rFonts w:ascii="Century Gothic" w:hAnsi="Century Gothic"/>
                        <w:color w:val="BFBFBF" w:themeColor="background1" w:themeShade="BF"/>
                        <w:sz w:val="16"/>
                        <w:szCs w:val="16"/>
                      </w:rPr>
                      <w:t xml:space="preserve"> of </w:t>
                    </w:r>
                    <w:r w:rsidRPr="007C38B4">
                      <w:rPr>
                        <w:rFonts w:ascii="Century Gothic" w:hAnsi="Century Gothic"/>
                        <w:color w:val="BFBFBF" w:themeColor="background1" w:themeShade="BF"/>
                        <w:sz w:val="16"/>
                        <w:szCs w:val="16"/>
                      </w:rPr>
                      <w:fldChar w:fldCharType="begin"/>
                    </w:r>
                    <w:r w:rsidRPr="007C38B4">
                      <w:rPr>
                        <w:rFonts w:ascii="Century Gothic" w:hAnsi="Century Gothic"/>
                        <w:color w:val="BFBFBF" w:themeColor="background1" w:themeShade="BF"/>
                        <w:sz w:val="16"/>
                        <w:szCs w:val="16"/>
                      </w:rPr>
                      <w:instrText xml:space="preserve"> NUMPAGES </w:instrText>
                    </w:r>
                    <w:r w:rsidRPr="007C38B4">
                      <w:rPr>
                        <w:rFonts w:ascii="Century Gothic" w:hAnsi="Century Gothic"/>
                        <w:color w:val="BFBFBF" w:themeColor="background1" w:themeShade="BF"/>
                        <w:sz w:val="16"/>
                        <w:szCs w:val="16"/>
                      </w:rPr>
                      <w:fldChar w:fldCharType="separate"/>
                    </w:r>
                    <w:r w:rsidR="00FC514C">
                      <w:rPr>
                        <w:rFonts w:ascii="Century Gothic" w:hAnsi="Century Gothic"/>
                        <w:noProof/>
                        <w:color w:val="BFBFBF" w:themeColor="background1" w:themeShade="BF"/>
                        <w:sz w:val="16"/>
                        <w:szCs w:val="16"/>
                      </w:rPr>
                      <w:t>3</w:t>
                    </w:r>
                    <w:r w:rsidRPr="007C38B4">
                      <w:rPr>
                        <w:rFonts w:ascii="Century Gothic" w:hAnsi="Century Gothic"/>
                        <w:color w:val="BFBFBF" w:themeColor="background1" w:themeShade="BF"/>
                        <w:sz w:val="16"/>
                        <w:szCs w:val="16"/>
                      </w:rPr>
                      <w:fldChar w:fldCharType="end"/>
                    </w:r>
                  </w:p>
                </w:txbxContent>
              </v:textbox>
              <w10:wrap type="square" anchorx="margin" anchory="margin"/>
            </v:shape>
          </w:pict>
        </mc:Fallback>
      </mc:AlternateContent>
    </w:r>
    <w:r w:rsidRPr="00DB3A08">
      <w:rPr>
        <w:noProof/>
        <w:lang w:val="en-AU" w:eastAsia="en-AU"/>
      </w:rPr>
      <w:drawing>
        <wp:anchor distT="0" distB="0" distL="114300" distR="114300" simplePos="0" relativeHeight="251692032" behindDoc="0" locked="0" layoutInCell="1" allowOverlap="1" wp14:anchorId="259751BE" wp14:editId="39279AA0">
          <wp:simplePos x="0" y="0"/>
          <wp:positionH relativeFrom="page">
            <wp:posOffset>-3482340</wp:posOffset>
          </wp:positionH>
          <wp:positionV relativeFrom="paragraph">
            <wp:posOffset>766445</wp:posOffset>
          </wp:positionV>
          <wp:extent cx="14517466" cy="280670"/>
          <wp:effectExtent l="0" t="0" r="0" b="50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17466" cy="280670"/>
                  </a:xfrm>
                  <a:prstGeom prst="rect">
                    <a:avLst/>
                  </a:prstGeom>
                </pic:spPr>
              </pic:pic>
            </a:graphicData>
          </a:graphic>
          <wp14:sizeRelH relativeFrom="page">
            <wp14:pctWidth>0</wp14:pctWidth>
          </wp14:sizeRelH>
          <wp14:sizeRelV relativeFrom="page">
            <wp14:pctHeight>0</wp14:pctHeight>
          </wp14:sizeRelV>
        </wp:anchor>
      </w:drawing>
    </w:r>
    <w:bookmarkStart w:id="1" w:name="_Toc259094338"/>
    <w:bookmarkEnd w:id="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54CC2" w14:textId="77777777" w:rsidR="003B52C0" w:rsidRDefault="003B52C0" w:rsidP="004104F6">
      <w:r>
        <w:separator/>
      </w:r>
    </w:p>
  </w:footnote>
  <w:footnote w:type="continuationSeparator" w:id="0">
    <w:p w14:paraId="70131175" w14:textId="77777777" w:rsidR="003B52C0" w:rsidRDefault="003B52C0" w:rsidP="004104F6">
      <w:r>
        <w:continuationSeparator/>
      </w:r>
    </w:p>
  </w:footnote>
  <w:footnote w:type="continuationNotice" w:id="1">
    <w:p w14:paraId="3B0C5F82" w14:textId="77777777" w:rsidR="003B52C0" w:rsidRDefault="003B52C0" w:rsidP="004104F6"/>
    <w:p w14:paraId="64B8C6E8" w14:textId="77777777" w:rsidR="003B52C0" w:rsidRDefault="003B52C0" w:rsidP="004104F6"/>
  </w:footnote>
  <w:footnote w:id="2">
    <w:p w14:paraId="51868CC3" w14:textId="68BC5E9B" w:rsidR="009C1BE5" w:rsidRPr="009C1BE5" w:rsidRDefault="009C1BE5">
      <w:pPr>
        <w:pStyle w:val="FootnoteText"/>
        <w:rPr>
          <w:lang w:val="en-AU"/>
        </w:rPr>
      </w:pPr>
      <w:r>
        <w:rPr>
          <w:rStyle w:val="FootnoteReference"/>
        </w:rPr>
        <w:footnoteRef/>
      </w:r>
      <w:r>
        <w:t xml:space="preserve"> </w:t>
      </w:r>
      <w:r w:rsidRPr="00F403E6">
        <w:rPr>
          <w:sz w:val="16"/>
          <w:lang w:val="en-AU"/>
        </w:rPr>
        <w:t xml:space="preserve">Costs are discounted to 2025 because this was the approach used in our Initial Feasibility Report which examined the possibility of Marinus Link being commissioned in 2025. The spreadsheet </w:t>
      </w:r>
      <w:r w:rsidRPr="00097C6C">
        <w:rPr>
          <w:i/>
          <w:sz w:val="16"/>
          <w:lang w:val="en-AU"/>
        </w:rPr>
        <w:t>Economic Evaluation Marinus Link.xlsx</w:t>
      </w:r>
      <w:r w:rsidRPr="00F403E6">
        <w:rPr>
          <w:sz w:val="16"/>
          <w:lang w:val="en-AU"/>
        </w:rPr>
        <w:t xml:space="preserve"> converts EY’s 2025 base year discounting to a 2019 base year.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F860F" w14:textId="77777777" w:rsidR="00CB5C02" w:rsidRDefault="00CB5C02">
    <w:pPr>
      <w:pStyle w:val="Header"/>
    </w:pPr>
    <w:r w:rsidRPr="00CB5C02">
      <w:rPr>
        <w:noProof/>
        <w:lang w:eastAsia="en-AU"/>
      </w:rPr>
      <w:drawing>
        <wp:anchor distT="0" distB="0" distL="114300" distR="114300" simplePos="0" relativeHeight="251666432" behindDoc="0" locked="0" layoutInCell="1" allowOverlap="1" wp14:anchorId="6BCE9C70" wp14:editId="705454D1">
          <wp:simplePos x="0" y="0"/>
          <wp:positionH relativeFrom="column">
            <wp:posOffset>36195</wp:posOffset>
          </wp:positionH>
          <wp:positionV relativeFrom="page">
            <wp:posOffset>442595</wp:posOffset>
          </wp:positionV>
          <wp:extent cx="1324800" cy="320400"/>
          <wp:effectExtent l="0" t="0" r="0" b="3810"/>
          <wp:wrapSquare wrapText="bothSides"/>
          <wp:docPr id="60" name="Picture 60" descr="H:\SSR\Brand &amp; Communications\Working files\About us\Second interconnector\Images, design\Logos\TNET21039_P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SR\Brand &amp; Communications\Working files\About us\Second interconnector\Images, design\Logos\TNET21039_PM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4800" cy="32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5C02">
      <w:rPr>
        <w:noProof/>
        <w:lang w:eastAsia="en-AU"/>
      </w:rPr>
      <w:drawing>
        <wp:anchor distT="0" distB="0" distL="114300" distR="114300" simplePos="0" relativeHeight="251701248" behindDoc="0" locked="0" layoutInCell="1" allowOverlap="1" wp14:anchorId="6E46D7ED" wp14:editId="2ED67EA2">
          <wp:simplePos x="0" y="0"/>
          <wp:positionH relativeFrom="rightMargin">
            <wp:posOffset>-1045845</wp:posOffset>
          </wp:positionH>
          <wp:positionV relativeFrom="page">
            <wp:posOffset>329701</wp:posOffset>
          </wp:positionV>
          <wp:extent cx="1043940" cy="572135"/>
          <wp:effectExtent l="0" t="0" r="3810" b="0"/>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Networks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43940" cy="5721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9C8"/>
    <w:multiLevelType w:val="multilevel"/>
    <w:tmpl w:val="668C9A54"/>
    <w:lvl w:ilvl="0">
      <w:start w:val="1"/>
      <w:numFmt w:val="bullet"/>
      <w:pStyle w:val="ListBulletL1"/>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ind w:left="1701" w:hanging="56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D624F96"/>
    <w:multiLevelType w:val="multilevel"/>
    <w:tmpl w:val="92FAEEE2"/>
    <w:lvl w:ilvl="0">
      <w:start w:val="1"/>
      <w:numFmt w:v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pStyle w:val="ListBulletL3"/>
      <w:lvlText w:val=""/>
      <w:lvlJc w:val="left"/>
      <w:pPr>
        <w:ind w:left="1701" w:hanging="567"/>
      </w:pPr>
      <w:rPr>
        <w:rFonts w:ascii="Wingdings 2" w:hAnsi="Wingdings 2"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7B9443D"/>
    <w:multiLevelType w:val="multilevel"/>
    <w:tmpl w:val="9EF005DC"/>
    <w:lvl w:ilvl="0">
      <w:start w:val="1"/>
      <w:numFmt w:val="decimal"/>
      <w:pStyle w:val="ListNumberL1"/>
      <w:lvlText w:val="%1."/>
      <w:lvlJc w:val="left"/>
      <w:pPr>
        <w:ind w:left="567" w:hanging="567"/>
      </w:pPr>
      <w:rPr>
        <w:rFonts w:hint="default"/>
        <w:b w:val="0"/>
        <w:i w:val="0"/>
        <w:caps w:val="0"/>
        <w:strike w:val="0"/>
        <w:dstrike w:val="0"/>
        <w:vanish w:val="0"/>
        <w:color w:val="5F5F5F"/>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ListNumberL2"/>
      <w:lvlText w:val="%2)"/>
      <w:lvlJc w:val="left"/>
      <w:pPr>
        <w:ind w:left="1134"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lvlText w:val=""/>
      <w:lvlJc w:val="right"/>
      <w:pPr>
        <w:ind w:left="1701" w:hanging="567"/>
      </w:pPr>
      <w:rPr>
        <w:rFonts w:hint="default"/>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righ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right"/>
      <w:pPr>
        <w:ind w:left="5103" w:hanging="567"/>
      </w:pPr>
      <w:rPr>
        <w:rFonts w:hint="default"/>
      </w:rPr>
    </w:lvl>
  </w:abstractNum>
  <w:abstractNum w:abstractNumId="3" w15:restartNumberingAfterBreak="0">
    <w:nsid w:val="51491482"/>
    <w:multiLevelType w:val="hybridMultilevel"/>
    <w:tmpl w:val="0DA25EE4"/>
    <w:lvl w:ilvl="0" w:tplc="0C090001">
      <w:start w:val="1"/>
      <w:numFmt w:val="bullet"/>
      <w:pStyle w:val="DotPoint"/>
      <w:lvlText w:val=""/>
      <w:lvlJc w:val="left"/>
      <w:pPr>
        <w:tabs>
          <w:tab w:val="num" w:pos="360"/>
        </w:tabs>
        <w:ind w:left="170" w:hanging="170"/>
      </w:pPr>
      <w:rPr>
        <w:rFonts w:ascii="Symbol" w:hAnsi="Symbol" w:hint="default"/>
        <w:color w:val="auto"/>
        <w:sz w:val="16"/>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decimal"/>
      <w:lvlText w:val="%3 -"/>
      <w:lvlJc w:val="left"/>
      <w:pPr>
        <w:tabs>
          <w:tab w:val="num" w:pos="2160"/>
        </w:tabs>
        <w:ind w:left="2160" w:hanging="360"/>
      </w:pPr>
      <w:rPr>
        <w:rFont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933E8F"/>
    <w:multiLevelType w:val="multilevel"/>
    <w:tmpl w:val="3CD88A5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b w:val="0"/>
        <w:bCs w:val="0"/>
        <w:i w:val="0"/>
        <w:iCs w:val="0"/>
        <w:caps w:val="0"/>
        <w:smallCaps w:val="0"/>
        <w:strike w:val="0"/>
        <w:dstrike w:val="0"/>
        <w:noProof w:val="0"/>
        <w:vanish w:val="0"/>
        <w:color w:val="3E3F4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0" w:firstLine="0"/>
      </w:pPr>
      <w:rPr>
        <w:rFonts w:asciiTheme="minorHAnsi" w:hAnsiTheme="min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 w15:restartNumberingAfterBreak="0">
    <w:nsid w:val="6168274E"/>
    <w:multiLevelType w:val="multilevel"/>
    <w:tmpl w:val="867CA836"/>
    <w:lvl w:ilvl="0">
      <w:start w:val="1"/>
      <w:numFmt w:val="bullet"/>
      <w:lvlText w:val=""/>
      <w:lvlJc w:val="left"/>
      <w:pPr>
        <w:ind w:left="567" w:hanging="567"/>
      </w:pPr>
      <w:rPr>
        <w:rFonts w:ascii="Symbol" w:hAnsi="Symbol" w:hint="default"/>
      </w:rPr>
    </w:lvl>
    <w:lvl w:ilvl="1">
      <w:start w:val="1"/>
      <w:numFmt w:val="bullet"/>
      <w:pStyle w:val="ListBulletL2"/>
      <w:lvlText w:val="○"/>
      <w:lvlJc w:val="left"/>
      <w:pPr>
        <w:ind w:left="1134" w:hanging="567"/>
      </w:pPr>
      <w:rPr>
        <w:rFonts w:ascii="Times New Roman" w:hAnsi="Times New Roman" w:cs="Times New Roman" w:hint="default"/>
      </w:rPr>
    </w:lvl>
    <w:lvl w:ilvl="2">
      <w:start w:val="1"/>
      <w:numFmt w:val="bullet"/>
      <w:lvlText w:val=""/>
      <w:lvlJc w:val="left"/>
      <w:pPr>
        <w:ind w:left="1701" w:hanging="56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8BB0D12"/>
    <w:multiLevelType w:val="hybridMultilevel"/>
    <w:tmpl w:val="03C031E4"/>
    <w:lvl w:ilvl="0" w:tplc="85E6388A">
      <w:start w:val="1"/>
      <w:numFmt w:val="bullet"/>
      <w:pStyle w:val="bullet1"/>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78F93AB3"/>
    <w:multiLevelType w:val="hybridMultilevel"/>
    <w:tmpl w:val="5D6C6BDA"/>
    <w:lvl w:ilvl="0" w:tplc="23CA59C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11E71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BE3FE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E9CC4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4608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829D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823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B0A45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B5E3B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EF13336"/>
    <w:multiLevelType w:val="hybridMultilevel"/>
    <w:tmpl w:val="B304515E"/>
    <w:lvl w:ilvl="0" w:tplc="D862AADA">
      <w:start w:val="1"/>
      <w:numFmt w:val="decimal"/>
      <w:pStyle w:val="Figure-numbered"/>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4"/>
  </w:num>
  <w:num w:numId="6">
    <w:abstractNumId w:val="8"/>
  </w:num>
  <w:num w:numId="7">
    <w:abstractNumId w:val="6"/>
  </w:num>
  <w:num w:numId="8">
    <w:abstractNumId w:val="2"/>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ocumentProtection w:formatting="1" w:enforcement="0"/>
  <w:styleLockTheme/>
  <w:styleLockQFSet/>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C0"/>
    <w:rsid w:val="000009CC"/>
    <w:rsid w:val="0000697C"/>
    <w:rsid w:val="0000774C"/>
    <w:rsid w:val="00007D48"/>
    <w:rsid w:val="00010904"/>
    <w:rsid w:val="00011A9C"/>
    <w:rsid w:val="000121F7"/>
    <w:rsid w:val="00014821"/>
    <w:rsid w:val="00014CC2"/>
    <w:rsid w:val="00015B73"/>
    <w:rsid w:val="000179D9"/>
    <w:rsid w:val="0002176E"/>
    <w:rsid w:val="0002332B"/>
    <w:rsid w:val="00024C69"/>
    <w:rsid w:val="00024DA0"/>
    <w:rsid w:val="00024FAC"/>
    <w:rsid w:val="00026211"/>
    <w:rsid w:val="00026271"/>
    <w:rsid w:val="00032205"/>
    <w:rsid w:val="00035031"/>
    <w:rsid w:val="00035F0E"/>
    <w:rsid w:val="000375E1"/>
    <w:rsid w:val="000405AD"/>
    <w:rsid w:val="00044B82"/>
    <w:rsid w:val="000453CC"/>
    <w:rsid w:val="00045F43"/>
    <w:rsid w:val="000466C5"/>
    <w:rsid w:val="000466C8"/>
    <w:rsid w:val="00046F02"/>
    <w:rsid w:val="000501CD"/>
    <w:rsid w:val="00050D52"/>
    <w:rsid w:val="00052136"/>
    <w:rsid w:val="0005352F"/>
    <w:rsid w:val="00053753"/>
    <w:rsid w:val="000548A8"/>
    <w:rsid w:val="0005663A"/>
    <w:rsid w:val="00056BF7"/>
    <w:rsid w:val="00060F0B"/>
    <w:rsid w:val="0006547A"/>
    <w:rsid w:val="000676DA"/>
    <w:rsid w:val="000677D8"/>
    <w:rsid w:val="000713DD"/>
    <w:rsid w:val="00073EC1"/>
    <w:rsid w:val="00075224"/>
    <w:rsid w:val="00075DF8"/>
    <w:rsid w:val="00077794"/>
    <w:rsid w:val="00083B3D"/>
    <w:rsid w:val="00084630"/>
    <w:rsid w:val="00086981"/>
    <w:rsid w:val="000918E0"/>
    <w:rsid w:val="00091ACA"/>
    <w:rsid w:val="00093BAE"/>
    <w:rsid w:val="00097C6C"/>
    <w:rsid w:val="000A21FB"/>
    <w:rsid w:val="000A26B7"/>
    <w:rsid w:val="000A289C"/>
    <w:rsid w:val="000A2AF0"/>
    <w:rsid w:val="000A3BBB"/>
    <w:rsid w:val="000A56A8"/>
    <w:rsid w:val="000B2D2A"/>
    <w:rsid w:val="000B38DF"/>
    <w:rsid w:val="000B4632"/>
    <w:rsid w:val="000B5A84"/>
    <w:rsid w:val="000B5F36"/>
    <w:rsid w:val="000B7859"/>
    <w:rsid w:val="000C026D"/>
    <w:rsid w:val="000C14D0"/>
    <w:rsid w:val="000C18F8"/>
    <w:rsid w:val="000C39CD"/>
    <w:rsid w:val="000C6AD3"/>
    <w:rsid w:val="000C7148"/>
    <w:rsid w:val="000D08FF"/>
    <w:rsid w:val="000D268E"/>
    <w:rsid w:val="000D2E33"/>
    <w:rsid w:val="000D3C2F"/>
    <w:rsid w:val="000D7115"/>
    <w:rsid w:val="000D71BB"/>
    <w:rsid w:val="000D7B23"/>
    <w:rsid w:val="000D7B49"/>
    <w:rsid w:val="000D7EAE"/>
    <w:rsid w:val="000E0B65"/>
    <w:rsid w:val="000E1034"/>
    <w:rsid w:val="000E5383"/>
    <w:rsid w:val="000E5BAA"/>
    <w:rsid w:val="000E6C04"/>
    <w:rsid w:val="000F166E"/>
    <w:rsid w:val="000F5200"/>
    <w:rsid w:val="000F5972"/>
    <w:rsid w:val="000F5F71"/>
    <w:rsid w:val="000F7B92"/>
    <w:rsid w:val="001001C8"/>
    <w:rsid w:val="001022BE"/>
    <w:rsid w:val="0010308F"/>
    <w:rsid w:val="0010354E"/>
    <w:rsid w:val="00104482"/>
    <w:rsid w:val="001046C0"/>
    <w:rsid w:val="00105679"/>
    <w:rsid w:val="00105C8B"/>
    <w:rsid w:val="00106211"/>
    <w:rsid w:val="00106684"/>
    <w:rsid w:val="00106903"/>
    <w:rsid w:val="00107883"/>
    <w:rsid w:val="00113B52"/>
    <w:rsid w:val="001147EF"/>
    <w:rsid w:val="00114C19"/>
    <w:rsid w:val="00114FC9"/>
    <w:rsid w:val="0011585C"/>
    <w:rsid w:val="001166DB"/>
    <w:rsid w:val="00116ECE"/>
    <w:rsid w:val="00117FE9"/>
    <w:rsid w:val="00120056"/>
    <w:rsid w:val="00120834"/>
    <w:rsid w:val="001213D6"/>
    <w:rsid w:val="0012227C"/>
    <w:rsid w:val="00122F17"/>
    <w:rsid w:val="00125CDA"/>
    <w:rsid w:val="001266F6"/>
    <w:rsid w:val="001268AF"/>
    <w:rsid w:val="00130B29"/>
    <w:rsid w:val="00131893"/>
    <w:rsid w:val="00131BC8"/>
    <w:rsid w:val="001408EA"/>
    <w:rsid w:val="0014106C"/>
    <w:rsid w:val="001419A6"/>
    <w:rsid w:val="001427C4"/>
    <w:rsid w:val="00143C11"/>
    <w:rsid w:val="001470A3"/>
    <w:rsid w:val="00150582"/>
    <w:rsid w:val="00152542"/>
    <w:rsid w:val="00154232"/>
    <w:rsid w:val="00155018"/>
    <w:rsid w:val="0015625E"/>
    <w:rsid w:val="0015657B"/>
    <w:rsid w:val="0015708D"/>
    <w:rsid w:val="00160D65"/>
    <w:rsid w:val="00164EEE"/>
    <w:rsid w:val="00165A1A"/>
    <w:rsid w:val="00166A55"/>
    <w:rsid w:val="00171FAF"/>
    <w:rsid w:val="001721AE"/>
    <w:rsid w:val="001736EE"/>
    <w:rsid w:val="00173A8A"/>
    <w:rsid w:val="001776A2"/>
    <w:rsid w:val="00182C78"/>
    <w:rsid w:val="00184281"/>
    <w:rsid w:val="001851ED"/>
    <w:rsid w:val="001853A7"/>
    <w:rsid w:val="00187E53"/>
    <w:rsid w:val="00192E6F"/>
    <w:rsid w:val="00194A8F"/>
    <w:rsid w:val="00194F1D"/>
    <w:rsid w:val="00195285"/>
    <w:rsid w:val="001953B8"/>
    <w:rsid w:val="001A02FA"/>
    <w:rsid w:val="001A0DAC"/>
    <w:rsid w:val="001A4067"/>
    <w:rsid w:val="001A47E2"/>
    <w:rsid w:val="001A5060"/>
    <w:rsid w:val="001A528A"/>
    <w:rsid w:val="001A653A"/>
    <w:rsid w:val="001B0547"/>
    <w:rsid w:val="001B7904"/>
    <w:rsid w:val="001C0AE6"/>
    <w:rsid w:val="001C111B"/>
    <w:rsid w:val="001C258E"/>
    <w:rsid w:val="001C286B"/>
    <w:rsid w:val="001C3DFC"/>
    <w:rsid w:val="001C5801"/>
    <w:rsid w:val="001C60BB"/>
    <w:rsid w:val="001D0DAA"/>
    <w:rsid w:val="001D125D"/>
    <w:rsid w:val="001D498A"/>
    <w:rsid w:val="001D5BD2"/>
    <w:rsid w:val="001D5DE3"/>
    <w:rsid w:val="001D5FAF"/>
    <w:rsid w:val="001D68EA"/>
    <w:rsid w:val="001D7640"/>
    <w:rsid w:val="001E104A"/>
    <w:rsid w:val="001E116B"/>
    <w:rsid w:val="001E1804"/>
    <w:rsid w:val="001E1B8B"/>
    <w:rsid w:val="001E240C"/>
    <w:rsid w:val="001E48F5"/>
    <w:rsid w:val="001E6CED"/>
    <w:rsid w:val="001E783A"/>
    <w:rsid w:val="001F2423"/>
    <w:rsid w:val="001F48AF"/>
    <w:rsid w:val="002002C7"/>
    <w:rsid w:val="002008B0"/>
    <w:rsid w:val="00202C0A"/>
    <w:rsid w:val="0020348D"/>
    <w:rsid w:val="00204395"/>
    <w:rsid w:val="00205B1C"/>
    <w:rsid w:val="00206C21"/>
    <w:rsid w:val="002072BE"/>
    <w:rsid w:val="00211ABC"/>
    <w:rsid w:val="00212374"/>
    <w:rsid w:val="00214391"/>
    <w:rsid w:val="00214A54"/>
    <w:rsid w:val="00215074"/>
    <w:rsid w:val="0021540C"/>
    <w:rsid w:val="002176F9"/>
    <w:rsid w:val="0022204C"/>
    <w:rsid w:val="0022384B"/>
    <w:rsid w:val="00223A91"/>
    <w:rsid w:val="00230D8A"/>
    <w:rsid w:val="00230F48"/>
    <w:rsid w:val="00231B86"/>
    <w:rsid w:val="00232984"/>
    <w:rsid w:val="00233039"/>
    <w:rsid w:val="002341B2"/>
    <w:rsid w:val="00236830"/>
    <w:rsid w:val="00237880"/>
    <w:rsid w:val="00237AB5"/>
    <w:rsid w:val="00237AF2"/>
    <w:rsid w:val="00240A5D"/>
    <w:rsid w:val="00240ED8"/>
    <w:rsid w:val="0024103E"/>
    <w:rsid w:val="00241220"/>
    <w:rsid w:val="0024335F"/>
    <w:rsid w:val="002439F3"/>
    <w:rsid w:val="002440E4"/>
    <w:rsid w:val="00244AC2"/>
    <w:rsid w:val="00245F3F"/>
    <w:rsid w:val="00246FCC"/>
    <w:rsid w:val="00251635"/>
    <w:rsid w:val="00252366"/>
    <w:rsid w:val="002530A0"/>
    <w:rsid w:val="002531FE"/>
    <w:rsid w:val="0025404B"/>
    <w:rsid w:val="0025756F"/>
    <w:rsid w:val="002576AA"/>
    <w:rsid w:val="00257E33"/>
    <w:rsid w:val="00257FD7"/>
    <w:rsid w:val="00261565"/>
    <w:rsid w:val="00261A7A"/>
    <w:rsid w:val="002625D4"/>
    <w:rsid w:val="002628EF"/>
    <w:rsid w:val="00267223"/>
    <w:rsid w:val="00271714"/>
    <w:rsid w:val="002728D6"/>
    <w:rsid w:val="00280626"/>
    <w:rsid w:val="00280D2B"/>
    <w:rsid w:val="00280E6B"/>
    <w:rsid w:val="0028175F"/>
    <w:rsid w:val="00283B8D"/>
    <w:rsid w:val="00286002"/>
    <w:rsid w:val="002879F2"/>
    <w:rsid w:val="00292A30"/>
    <w:rsid w:val="00293E9B"/>
    <w:rsid w:val="00293EF7"/>
    <w:rsid w:val="00294159"/>
    <w:rsid w:val="00295E4F"/>
    <w:rsid w:val="00296232"/>
    <w:rsid w:val="00296C64"/>
    <w:rsid w:val="0029761F"/>
    <w:rsid w:val="002A3454"/>
    <w:rsid w:val="002A4193"/>
    <w:rsid w:val="002A5360"/>
    <w:rsid w:val="002A7E3B"/>
    <w:rsid w:val="002B050B"/>
    <w:rsid w:val="002B0523"/>
    <w:rsid w:val="002B12C1"/>
    <w:rsid w:val="002B2435"/>
    <w:rsid w:val="002B2749"/>
    <w:rsid w:val="002B3464"/>
    <w:rsid w:val="002B3DA4"/>
    <w:rsid w:val="002B5283"/>
    <w:rsid w:val="002B7BD5"/>
    <w:rsid w:val="002C11F6"/>
    <w:rsid w:val="002C239F"/>
    <w:rsid w:val="002C2F1F"/>
    <w:rsid w:val="002C6660"/>
    <w:rsid w:val="002C6942"/>
    <w:rsid w:val="002C6DAF"/>
    <w:rsid w:val="002C787F"/>
    <w:rsid w:val="002D0014"/>
    <w:rsid w:val="002D45BB"/>
    <w:rsid w:val="002D5776"/>
    <w:rsid w:val="002D66D7"/>
    <w:rsid w:val="002D7942"/>
    <w:rsid w:val="002E09AF"/>
    <w:rsid w:val="002E2067"/>
    <w:rsid w:val="002E6F66"/>
    <w:rsid w:val="002F01BE"/>
    <w:rsid w:val="002F0D08"/>
    <w:rsid w:val="002F2BBA"/>
    <w:rsid w:val="002F5DF6"/>
    <w:rsid w:val="00303D10"/>
    <w:rsid w:val="00305E65"/>
    <w:rsid w:val="003062C3"/>
    <w:rsid w:val="003064F9"/>
    <w:rsid w:val="00306BB3"/>
    <w:rsid w:val="00312859"/>
    <w:rsid w:val="00320203"/>
    <w:rsid w:val="00323AB2"/>
    <w:rsid w:val="00324593"/>
    <w:rsid w:val="00326C6C"/>
    <w:rsid w:val="00327391"/>
    <w:rsid w:val="00334FE8"/>
    <w:rsid w:val="00335BB5"/>
    <w:rsid w:val="00336057"/>
    <w:rsid w:val="00336208"/>
    <w:rsid w:val="00342A5C"/>
    <w:rsid w:val="00342D98"/>
    <w:rsid w:val="00342E95"/>
    <w:rsid w:val="00342F21"/>
    <w:rsid w:val="0034394B"/>
    <w:rsid w:val="00344B0E"/>
    <w:rsid w:val="00344E17"/>
    <w:rsid w:val="003452B1"/>
    <w:rsid w:val="00345D05"/>
    <w:rsid w:val="003464D5"/>
    <w:rsid w:val="003507A0"/>
    <w:rsid w:val="003548E1"/>
    <w:rsid w:val="00354A5D"/>
    <w:rsid w:val="00356B97"/>
    <w:rsid w:val="00363110"/>
    <w:rsid w:val="00365509"/>
    <w:rsid w:val="00366976"/>
    <w:rsid w:val="00367242"/>
    <w:rsid w:val="00367BBE"/>
    <w:rsid w:val="003709ED"/>
    <w:rsid w:val="003716EF"/>
    <w:rsid w:val="00372C8E"/>
    <w:rsid w:val="003742B2"/>
    <w:rsid w:val="0037650C"/>
    <w:rsid w:val="0037660E"/>
    <w:rsid w:val="003771AE"/>
    <w:rsid w:val="003800EF"/>
    <w:rsid w:val="003808E7"/>
    <w:rsid w:val="00385715"/>
    <w:rsid w:val="00387907"/>
    <w:rsid w:val="00392641"/>
    <w:rsid w:val="003931E5"/>
    <w:rsid w:val="003936F1"/>
    <w:rsid w:val="00394024"/>
    <w:rsid w:val="00395BEB"/>
    <w:rsid w:val="003A01DA"/>
    <w:rsid w:val="003A071A"/>
    <w:rsid w:val="003A0975"/>
    <w:rsid w:val="003A20AF"/>
    <w:rsid w:val="003A35AD"/>
    <w:rsid w:val="003A6AC6"/>
    <w:rsid w:val="003A7116"/>
    <w:rsid w:val="003A7CD1"/>
    <w:rsid w:val="003A7ED7"/>
    <w:rsid w:val="003B2E65"/>
    <w:rsid w:val="003B52C0"/>
    <w:rsid w:val="003B603B"/>
    <w:rsid w:val="003B61CE"/>
    <w:rsid w:val="003B651D"/>
    <w:rsid w:val="003C169C"/>
    <w:rsid w:val="003C3495"/>
    <w:rsid w:val="003C3EDC"/>
    <w:rsid w:val="003C3F42"/>
    <w:rsid w:val="003C5A47"/>
    <w:rsid w:val="003C7B23"/>
    <w:rsid w:val="003D1176"/>
    <w:rsid w:val="003D1B03"/>
    <w:rsid w:val="003D38ED"/>
    <w:rsid w:val="003D7DE2"/>
    <w:rsid w:val="003E354D"/>
    <w:rsid w:val="003E544A"/>
    <w:rsid w:val="003E58F2"/>
    <w:rsid w:val="003F00EB"/>
    <w:rsid w:val="003F1B3F"/>
    <w:rsid w:val="003F2222"/>
    <w:rsid w:val="003F31E5"/>
    <w:rsid w:val="003F53C7"/>
    <w:rsid w:val="003F6B63"/>
    <w:rsid w:val="00401523"/>
    <w:rsid w:val="00401E4A"/>
    <w:rsid w:val="004029DE"/>
    <w:rsid w:val="00402A30"/>
    <w:rsid w:val="00403B7A"/>
    <w:rsid w:val="004046CD"/>
    <w:rsid w:val="00406260"/>
    <w:rsid w:val="00406426"/>
    <w:rsid w:val="00407D21"/>
    <w:rsid w:val="00407D9D"/>
    <w:rsid w:val="004104F6"/>
    <w:rsid w:val="00410FA6"/>
    <w:rsid w:val="00414C99"/>
    <w:rsid w:val="004171E8"/>
    <w:rsid w:val="00417306"/>
    <w:rsid w:val="00425D26"/>
    <w:rsid w:val="00426FBC"/>
    <w:rsid w:val="004270E4"/>
    <w:rsid w:val="0043007C"/>
    <w:rsid w:val="004313A4"/>
    <w:rsid w:val="00432CDD"/>
    <w:rsid w:val="00434045"/>
    <w:rsid w:val="004356EF"/>
    <w:rsid w:val="00435E7F"/>
    <w:rsid w:val="004365FE"/>
    <w:rsid w:val="00436E56"/>
    <w:rsid w:val="00436FA9"/>
    <w:rsid w:val="00437436"/>
    <w:rsid w:val="004400CE"/>
    <w:rsid w:val="00441B5E"/>
    <w:rsid w:val="00442C19"/>
    <w:rsid w:val="004435D5"/>
    <w:rsid w:val="00445EC1"/>
    <w:rsid w:val="0044626A"/>
    <w:rsid w:val="004470F3"/>
    <w:rsid w:val="00447F26"/>
    <w:rsid w:val="0045078F"/>
    <w:rsid w:val="00452E96"/>
    <w:rsid w:val="004530BE"/>
    <w:rsid w:val="00454E58"/>
    <w:rsid w:val="00461398"/>
    <w:rsid w:val="0046162D"/>
    <w:rsid w:val="00461DA7"/>
    <w:rsid w:val="004621E8"/>
    <w:rsid w:val="00463292"/>
    <w:rsid w:val="00463788"/>
    <w:rsid w:val="00464E15"/>
    <w:rsid w:val="004650CF"/>
    <w:rsid w:val="00465D05"/>
    <w:rsid w:val="004665CB"/>
    <w:rsid w:val="00467D62"/>
    <w:rsid w:val="00471653"/>
    <w:rsid w:val="00471AD9"/>
    <w:rsid w:val="00474C4B"/>
    <w:rsid w:val="00476110"/>
    <w:rsid w:val="00477271"/>
    <w:rsid w:val="00477A80"/>
    <w:rsid w:val="00477AAC"/>
    <w:rsid w:val="004829B9"/>
    <w:rsid w:val="00483D89"/>
    <w:rsid w:val="00491EDF"/>
    <w:rsid w:val="00493479"/>
    <w:rsid w:val="00493C04"/>
    <w:rsid w:val="004942C6"/>
    <w:rsid w:val="004952B4"/>
    <w:rsid w:val="00496600"/>
    <w:rsid w:val="004977EB"/>
    <w:rsid w:val="004A1C27"/>
    <w:rsid w:val="004A2B86"/>
    <w:rsid w:val="004A2D9A"/>
    <w:rsid w:val="004A53B3"/>
    <w:rsid w:val="004B3241"/>
    <w:rsid w:val="004B4251"/>
    <w:rsid w:val="004B64BC"/>
    <w:rsid w:val="004B6F7E"/>
    <w:rsid w:val="004B7051"/>
    <w:rsid w:val="004C04AE"/>
    <w:rsid w:val="004C1BA7"/>
    <w:rsid w:val="004C6692"/>
    <w:rsid w:val="004C68A1"/>
    <w:rsid w:val="004C6E94"/>
    <w:rsid w:val="004C7DF9"/>
    <w:rsid w:val="004D0227"/>
    <w:rsid w:val="004D0C8C"/>
    <w:rsid w:val="004D16CD"/>
    <w:rsid w:val="004D27BB"/>
    <w:rsid w:val="004D6CB3"/>
    <w:rsid w:val="004D70AC"/>
    <w:rsid w:val="004D743C"/>
    <w:rsid w:val="004E0BA8"/>
    <w:rsid w:val="004E102F"/>
    <w:rsid w:val="004E23D2"/>
    <w:rsid w:val="004E5350"/>
    <w:rsid w:val="004E6D0B"/>
    <w:rsid w:val="004E6D41"/>
    <w:rsid w:val="004E7D33"/>
    <w:rsid w:val="004E7DEE"/>
    <w:rsid w:val="004F1258"/>
    <w:rsid w:val="004F17D0"/>
    <w:rsid w:val="004F4CE9"/>
    <w:rsid w:val="004F4E76"/>
    <w:rsid w:val="004F57E0"/>
    <w:rsid w:val="00500937"/>
    <w:rsid w:val="00500D29"/>
    <w:rsid w:val="00506770"/>
    <w:rsid w:val="0051108A"/>
    <w:rsid w:val="00514726"/>
    <w:rsid w:val="005155ED"/>
    <w:rsid w:val="00516581"/>
    <w:rsid w:val="005168A9"/>
    <w:rsid w:val="00520C9E"/>
    <w:rsid w:val="0052654A"/>
    <w:rsid w:val="00526F5F"/>
    <w:rsid w:val="00531725"/>
    <w:rsid w:val="0053395C"/>
    <w:rsid w:val="00536F2C"/>
    <w:rsid w:val="0053705B"/>
    <w:rsid w:val="00537773"/>
    <w:rsid w:val="00537D02"/>
    <w:rsid w:val="0054064D"/>
    <w:rsid w:val="005407DD"/>
    <w:rsid w:val="00540C59"/>
    <w:rsid w:val="005410AD"/>
    <w:rsid w:val="00541DCD"/>
    <w:rsid w:val="00543009"/>
    <w:rsid w:val="00544338"/>
    <w:rsid w:val="00544B6B"/>
    <w:rsid w:val="005464AD"/>
    <w:rsid w:val="00546E18"/>
    <w:rsid w:val="00550ECB"/>
    <w:rsid w:val="005512B8"/>
    <w:rsid w:val="00552177"/>
    <w:rsid w:val="00554B93"/>
    <w:rsid w:val="0056237A"/>
    <w:rsid w:val="00563601"/>
    <w:rsid w:val="00564831"/>
    <w:rsid w:val="005655C7"/>
    <w:rsid w:val="00566878"/>
    <w:rsid w:val="00571299"/>
    <w:rsid w:val="00574ACA"/>
    <w:rsid w:val="005754CC"/>
    <w:rsid w:val="0058134C"/>
    <w:rsid w:val="00581ED9"/>
    <w:rsid w:val="005847CB"/>
    <w:rsid w:val="005918C6"/>
    <w:rsid w:val="00597396"/>
    <w:rsid w:val="005A006E"/>
    <w:rsid w:val="005A0368"/>
    <w:rsid w:val="005A051A"/>
    <w:rsid w:val="005A1128"/>
    <w:rsid w:val="005A1557"/>
    <w:rsid w:val="005A560B"/>
    <w:rsid w:val="005A5BC7"/>
    <w:rsid w:val="005A6C2C"/>
    <w:rsid w:val="005B0674"/>
    <w:rsid w:val="005B2474"/>
    <w:rsid w:val="005B39C4"/>
    <w:rsid w:val="005B3F53"/>
    <w:rsid w:val="005B466B"/>
    <w:rsid w:val="005B52B4"/>
    <w:rsid w:val="005B7C61"/>
    <w:rsid w:val="005C1791"/>
    <w:rsid w:val="005C17FF"/>
    <w:rsid w:val="005C1825"/>
    <w:rsid w:val="005C218E"/>
    <w:rsid w:val="005C2F49"/>
    <w:rsid w:val="005C3021"/>
    <w:rsid w:val="005C5109"/>
    <w:rsid w:val="005C6504"/>
    <w:rsid w:val="005D3DEE"/>
    <w:rsid w:val="005D4DE5"/>
    <w:rsid w:val="005D66A7"/>
    <w:rsid w:val="005D6B14"/>
    <w:rsid w:val="005D785A"/>
    <w:rsid w:val="005E0577"/>
    <w:rsid w:val="005E0B4B"/>
    <w:rsid w:val="005E155A"/>
    <w:rsid w:val="005E196C"/>
    <w:rsid w:val="005E2C4E"/>
    <w:rsid w:val="005E37C3"/>
    <w:rsid w:val="005E4099"/>
    <w:rsid w:val="005E4284"/>
    <w:rsid w:val="005E4CEA"/>
    <w:rsid w:val="005E658B"/>
    <w:rsid w:val="005F03C2"/>
    <w:rsid w:val="005F2AD7"/>
    <w:rsid w:val="005F3865"/>
    <w:rsid w:val="005F522C"/>
    <w:rsid w:val="005F730B"/>
    <w:rsid w:val="00600839"/>
    <w:rsid w:val="006008BE"/>
    <w:rsid w:val="00602082"/>
    <w:rsid w:val="00603A7B"/>
    <w:rsid w:val="006060D4"/>
    <w:rsid w:val="00606B2A"/>
    <w:rsid w:val="00606EB2"/>
    <w:rsid w:val="00611279"/>
    <w:rsid w:val="006122F7"/>
    <w:rsid w:val="00612961"/>
    <w:rsid w:val="006133F0"/>
    <w:rsid w:val="006141C8"/>
    <w:rsid w:val="00614946"/>
    <w:rsid w:val="00614BDD"/>
    <w:rsid w:val="00615721"/>
    <w:rsid w:val="006158BE"/>
    <w:rsid w:val="00616048"/>
    <w:rsid w:val="006164AA"/>
    <w:rsid w:val="0062086C"/>
    <w:rsid w:val="006211C1"/>
    <w:rsid w:val="00623C15"/>
    <w:rsid w:val="00623EE8"/>
    <w:rsid w:val="00625537"/>
    <w:rsid w:val="00625562"/>
    <w:rsid w:val="00627F18"/>
    <w:rsid w:val="006305FD"/>
    <w:rsid w:val="0063681F"/>
    <w:rsid w:val="00640993"/>
    <w:rsid w:val="00640A01"/>
    <w:rsid w:val="00641F5E"/>
    <w:rsid w:val="00643B5A"/>
    <w:rsid w:val="00645817"/>
    <w:rsid w:val="00646DAC"/>
    <w:rsid w:val="00650B2C"/>
    <w:rsid w:val="0065389F"/>
    <w:rsid w:val="00655B6B"/>
    <w:rsid w:val="00655E41"/>
    <w:rsid w:val="0066366C"/>
    <w:rsid w:val="006645EA"/>
    <w:rsid w:val="0066765D"/>
    <w:rsid w:val="00670513"/>
    <w:rsid w:val="006708AF"/>
    <w:rsid w:val="0067751B"/>
    <w:rsid w:val="00677CBB"/>
    <w:rsid w:val="00681A92"/>
    <w:rsid w:val="00683F67"/>
    <w:rsid w:val="00684E4B"/>
    <w:rsid w:val="0068632C"/>
    <w:rsid w:val="00686C8E"/>
    <w:rsid w:val="00690024"/>
    <w:rsid w:val="006917CF"/>
    <w:rsid w:val="00691880"/>
    <w:rsid w:val="00693AC6"/>
    <w:rsid w:val="006A2318"/>
    <w:rsid w:val="006A4E5D"/>
    <w:rsid w:val="006A60B8"/>
    <w:rsid w:val="006A6795"/>
    <w:rsid w:val="006B0B06"/>
    <w:rsid w:val="006B5E3F"/>
    <w:rsid w:val="006B613B"/>
    <w:rsid w:val="006B7556"/>
    <w:rsid w:val="006C0446"/>
    <w:rsid w:val="006C07F9"/>
    <w:rsid w:val="006C0C13"/>
    <w:rsid w:val="006C17FC"/>
    <w:rsid w:val="006C18A5"/>
    <w:rsid w:val="006C1BF7"/>
    <w:rsid w:val="006C28D3"/>
    <w:rsid w:val="006C770A"/>
    <w:rsid w:val="006D006F"/>
    <w:rsid w:val="006D034C"/>
    <w:rsid w:val="006D2817"/>
    <w:rsid w:val="006D4382"/>
    <w:rsid w:val="006D4467"/>
    <w:rsid w:val="006D4B08"/>
    <w:rsid w:val="006D4EDE"/>
    <w:rsid w:val="006D507F"/>
    <w:rsid w:val="006D5511"/>
    <w:rsid w:val="006D5D37"/>
    <w:rsid w:val="006D6813"/>
    <w:rsid w:val="006D76D9"/>
    <w:rsid w:val="006E04B1"/>
    <w:rsid w:val="006E120C"/>
    <w:rsid w:val="006E3EB7"/>
    <w:rsid w:val="006E61E4"/>
    <w:rsid w:val="006E6FA9"/>
    <w:rsid w:val="006F0AFE"/>
    <w:rsid w:val="006F0D53"/>
    <w:rsid w:val="006F7B3C"/>
    <w:rsid w:val="00700C8B"/>
    <w:rsid w:val="00703A14"/>
    <w:rsid w:val="00704989"/>
    <w:rsid w:val="00704E28"/>
    <w:rsid w:val="0070636D"/>
    <w:rsid w:val="007069E7"/>
    <w:rsid w:val="00706A39"/>
    <w:rsid w:val="007109E1"/>
    <w:rsid w:val="00713891"/>
    <w:rsid w:val="0071448C"/>
    <w:rsid w:val="00714FCD"/>
    <w:rsid w:val="007154E1"/>
    <w:rsid w:val="00716B05"/>
    <w:rsid w:val="00716FC8"/>
    <w:rsid w:val="007228D5"/>
    <w:rsid w:val="00724BB2"/>
    <w:rsid w:val="00725D84"/>
    <w:rsid w:val="007274ED"/>
    <w:rsid w:val="00727701"/>
    <w:rsid w:val="00731BC9"/>
    <w:rsid w:val="00732051"/>
    <w:rsid w:val="00733531"/>
    <w:rsid w:val="00737769"/>
    <w:rsid w:val="0074001B"/>
    <w:rsid w:val="00740175"/>
    <w:rsid w:val="0074044D"/>
    <w:rsid w:val="00740B12"/>
    <w:rsid w:val="00740F23"/>
    <w:rsid w:val="0074156B"/>
    <w:rsid w:val="00741DA8"/>
    <w:rsid w:val="00741F24"/>
    <w:rsid w:val="00744159"/>
    <w:rsid w:val="0074555A"/>
    <w:rsid w:val="007462D6"/>
    <w:rsid w:val="00747D25"/>
    <w:rsid w:val="0075056E"/>
    <w:rsid w:val="00752CEB"/>
    <w:rsid w:val="00752FE4"/>
    <w:rsid w:val="007535AE"/>
    <w:rsid w:val="00753C82"/>
    <w:rsid w:val="00753D4D"/>
    <w:rsid w:val="00754F7D"/>
    <w:rsid w:val="0075608D"/>
    <w:rsid w:val="007567CA"/>
    <w:rsid w:val="00760DDB"/>
    <w:rsid w:val="00761044"/>
    <w:rsid w:val="00761799"/>
    <w:rsid w:val="00762843"/>
    <w:rsid w:val="00762C5D"/>
    <w:rsid w:val="00763B10"/>
    <w:rsid w:val="00764F08"/>
    <w:rsid w:val="0076543E"/>
    <w:rsid w:val="0076647C"/>
    <w:rsid w:val="00772A55"/>
    <w:rsid w:val="00772AC3"/>
    <w:rsid w:val="0077539A"/>
    <w:rsid w:val="00776160"/>
    <w:rsid w:val="00781350"/>
    <w:rsid w:val="00784056"/>
    <w:rsid w:val="00784549"/>
    <w:rsid w:val="00784670"/>
    <w:rsid w:val="00785F82"/>
    <w:rsid w:val="007863B8"/>
    <w:rsid w:val="00786526"/>
    <w:rsid w:val="00786805"/>
    <w:rsid w:val="007906AC"/>
    <w:rsid w:val="00790A2A"/>
    <w:rsid w:val="00790BCE"/>
    <w:rsid w:val="00790BF8"/>
    <w:rsid w:val="00792177"/>
    <w:rsid w:val="00793186"/>
    <w:rsid w:val="00793638"/>
    <w:rsid w:val="007939BA"/>
    <w:rsid w:val="007963B0"/>
    <w:rsid w:val="007A2C5F"/>
    <w:rsid w:val="007A4712"/>
    <w:rsid w:val="007A6D3E"/>
    <w:rsid w:val="007B38C9"/>
    <w:rsid w:val="007B444F"/>
    <w:rsid w:val="007B6A31"/>
    <w:rsid w:val="007B6C43"/>
    <w:rsid w:val="007B769A"/>
    <w:rsid w:val="007C0C5C"/>
    <w:rsid w:val="007C0DE5"/>
    <w:rsid w:val="007C38B4"/>
    <w:rsid w:val="007C4984"/>
    <w:rsid w:val="007D13C1"/>
    <w:rsid w:val="007D219A"/>
    <w:rsid w:val="007D26EF"/>
    <w:rsid w:val="007D2E9C"/>
    <w:rsid w:val="007D30E6"/>
    <w:rsid w:val="007D3621"/>
    <w:rsid w:val="007D4E48"/>
    <w:rsid w:val="007E0FC2"/>
    <w:rsid w:val="007E1308"/>
    <w:rsid w:val="007E2805"/>
    <w:rsid w:val="007E4CA7"/>
    <w:rsid w:val="007E6C15"/>
    <w:rsid w:val="007E734C"/>
    <w:rsid w:val="007F0A3D"/>
    <w:rsid w:val="007F32FA"/>
    <w:rsid w:val="007F3BE1"/>
    <w:rsid w:val="007F4635"/>
    <w:rsid w:val="007F5F9E"/>
    <w:rsid w:val="007F7180"/>
    <w:rsid w:val="008025AF"/>
    <w:rsid w:val="00802EE4"/>
    <w:rsid w:val="008064F7"/>
    <w:rsid w:val="0081087B"/>
    <w:rsid w:val="00810962"/>
    <w:rsid w:val="00811EFC"/>
    <w:rsid w:val="00812CD2"/>
    <w:rsid w:val="008131EB"/>
    <w:rsid w:val="008138B4"/>
    <w:rsid w:val="00814C0F"/>
    <w:rsid w:val="008157EF"/>
    <w:rsid w:val="00815D80"/>
    <w:rsid w:val="008222CB"/>
    <w:rsid w:val="008224CD"/>
    <w:rsid w:val="00823459"/>
    <w:rsid w:val="00825573"/>
    <w:rsid w:val="008255C3"/>
    <w:rsid w:val="00825F32"/>
    <w:rsid w:val="008273E9"/>
    <w:rsid w:val="00827CEC"/>
    <w:rsid w:val="00831822"/>
    <w:rsid w:val="00831C9C"/>
    <w:rsid w:val="008329F8"/>
    <w:rsid w:val="00833724"/>
    <w:rsid w:val="00833BE3"/>
    <w:rsid w:val="00833FDE"/>
    <w:rsid w:val="0083699D"/>
    <w:rsid w:val="0083776D"/>
    <w:rsid w:val="00845DFB"/>
    <w:rsid w:val="00846113"/>
    <w:rsid w:val="00850299"/>
    <w:rsid w:val="00854629"/>
    <w:rsid w:val="0085571D"/>
    <w:rsid w:val="0085664A"/>
    <w:rsid w:val="00860665"/>
    <w:rsid w:val="00861E17"/>
    <w:rsid w:val="008623E8"/>
    <w:rsid w:val="00863352"/>
    <w:rsid w:val="00863424"/>
    <w:rsid w:val="00863F94"/>
    <w:rsid w:val="00864675"/>
    <w:rsid w:val="00864727"/>
    <w:rsid w:val="00865AA7"/>
    <w:rsid w:val="00866A1B"/>
    <w:rsid w:val="00867074"/>
    <w:rsid w:val="00876CD3"/>
    <w:rsid w:val="008803C4"/>
    <w:rsid w:val="00880B79"/>
    <w:rsid w:val="00880BD7"/>
    <w:rsid w:val="00881ADF"/>
    <w:rsid w:val="008824AC"/>
    <w:rsid w:val="0088499C"/>
    <w:rsid w:val="00885411"/>
    <w:rsid w:val="00885DAB"/>
    <w:rsid w:val="0088621A"/>
    <w:rsid w:val="008864D9"/>
    <w:rsid w:val="0088659B"/>
    <w:rsid w:val="008871F2"/>
    <w:rsid w:val="00892A58"/>
    <w:rsid w:val="00893B5F"/>
    <w:rsid w:val="00895422"/>
    <w:rsid w:val="008975AE"/>
    <w:rsid w:val="008A0576"/>
    <w:rsid w:val="008A0914"/>
    <w:rsid w:val="008A1B67"/>
    <w:rsid w:val="008A2055"/>
    <w:rsid w:val="008A4654"/>
    <w:rsid w:val="008A5936"/>
    <w:rsid w:val="008B11F4"/>
    <w:rsid w:val="008B19B5"/>
    <w:rsid w:val="008B1C91"/>
    <w:rsid w:val="008B2E46"/>
    <w:rsid w:val="008B4060"/>
    <w:rsid w:val="008B52A8"/>
    <w:rsid w:val="008B730E"/>
    <w:rsid w:val="008B76EA"/>
    <w:rsid w:val="008C524C"/>
    <w:rsid w:val="008C7D1B"/>
    <w:rsid w:val="008D29D1"/>
    <w:rsid w:val="008D4323"/>
    <w:rsid w:val="008E1AFF"/>
    <w:rsid w:val="008E276F"/>
    <w:rsid w:val="008E3FE1"/>
    <w:rsid w:val="008E45D9"/>
    <w:rsid w:val="008E7003"/>
    <w:rsid w:val="008F1B46"/>
    <w:rsid w:val="008F2A75"/>
    <w:rsid w:val="008F3093"/>
    <w:rsid w:val="008F345A"/>
    <w:rsid w:val="008F3CD7"/>
    <w:rsid w:val="008F4087"/>
    <w:rsid w:val="008F6671"/>
    <w:rsid w:val="008F764A"/>
    <w:rsid w:val="008F7CE9"/>
    <w:rsid w:val="00900D70"/>
    <w:rsid w:val="00901A6A"/>
    <w:rsid w:val="00902807"/>
    <w:rsid w:val="009043D1"/>
    <w:rsid w:val="009059F4"/>
    <w:rsid w:val="009105F0"/>
    <w:rsid w:val="0091375D"/>
    <w:rsid w:val="00914350"/>
    <w:rsid w:val="009155A2"/>
    <w:rsid w:val="00917CF7"/>
    <w:rsid w:val="00920CA0"/>
    <w:rsid w:val="00923059"/>
    <w:rsid w:val="00923301"/>
    <w:rsid w:val="009277D0"/>
    <w:rsid w:val="00930FD5"/>
    <w:rsid w:val="0093160D"/>
    <w:rsid w:val="0093221D"/>
    <w:rsid w:val="0093355C"/>
    <w:rsid w:val="009336C3"/>
    <w:rsid w:val="00934A32"/>
    <w:rsid w:val="00934EC1"/>
    <w:rsid w:val="009353C2"/>
    <w:rsid w:val="00935926"/>
    <w:rsid w:val="00936E16"/>
    <w:rsid w:val="00937A45"/>
    <w:rsid w:val="009421D9"/>
    <w:rsid w:val="009429DA"/>
    <w:rsid w:val="00943A9C"/>
    <w:rsid w:val="00943FE1"/>
    <w:rsid w:val="00944B11"/>
    <w:rsid w:val="00945650"/>
    <w:rsid w:val="00946B71"/>
    <w:rsid w:val="0095007D"/>
    <w:rsid w:val="00950290"/>
    <w:rsid w:val="00951C7C"/>
    <w:rsid w:val="009545EB"/>
    <w:rsid w:val="009574E4"/>
    <w:rsid w:val="00957DA1"/>
    <w:rsid w:val="009600C9"/>
    <w:rsid w:val="00960B8C"/>
    <w:rsid w:val="00961F8B"/>
    <w:rsid w:val="00962CCA"/>
    <w:rsid w:val="0096358D"/>
    <w:rsid w:val="0096430C"/>
    <w:rsid w:val="00964F4F"/>
    <w:rsid w:val="00967605"/>
    <w:rsid w:val="009679AE"/>
    <w:rsid w:val="009706EA"/>
    <w:rsid w:val="0097145A"/>
    <w:rsid w:val="00972197"/>
    <w:rsid w:val="009742A6"/>
    <w:rsid w:val="00974546"/>
    <w:rsid w:val="009753D9"/>
    <w:rsid w:val="0098011D"/>
    <w:rsid w:val="009809A4"/>
    <w:rsid w:val="00982D81"/>
    <w:rsid w:val="009835AC"/>
    <w:rsid w:val="00983850"/>
    <w:rsid w:val="009867E8"/>
    <w:rsid w:val="0099135C"/>
    <w:rsid w:val="009A0BCB"/>
    <w:rsid w:val="009A3D8E"/>
    <w:rsid w:val="009A4545"/>
    <w:rsid w:val="009A4CAD"/>
    <w:rsid w:val="009A62E3"/>
    <w:rsid w:val="009A7885"/>
    <w:rsid w:val="009B0A4E"/>
    <w:rsid w:val="009B1801"/>
    <w:rsid w:val="009B23DF"/>
    <w:rsid w:val="009B28FE"/>
    <w:rsid w:val="009B44F7"/>
    <w:rsid w:val="009B56C4"/>
    <w:rsid w:val="009B6558"/>
    <w:rsid w:val="009B6A1F"/>
    <w:rsid w:val="009C0AA5"/>
    <w:rsid w:val="009C1527"/>
    <w:rsid w:val="009C1BE5"/>
    <w:rsid w:val="009C514A"/>
    <w:rsid w:val="009C6EF0"/>
    <w:rsid w:val="009C7D95"/>
    <w:rsid w:val="009D0C2B"/>
    <w:rsid w:val="009D2123"/>
    <w:rsid w:val="009D3D4C"/>
    <w:rsid w:val="009E032E"/>
    <w:rsid w:val="009E3084"/>
    <w:rsid w:val="009E3203"/>
    <w:rsid w:val="009E3513"/>
    <w:rsid w:val="009E35E1"/>
    <w:rsid w:val="009E70F7"/>
    <w:rsid w:val="009F05D0"/>
    <w:rsid w:val="009F2EE0"/>
    <w:rsid w:val="009F439E"/>
    <w:rsid w:val="009F4F0E"/>
    <w:rsid w:val="009F597A"/>
    <w:rsid w:val="00A02933"/>
    <w:rsid w:val="00A061C1"/>
    <w:rsid w:val="00A066B8"/>
    <w:rsid w:val="00A069A3"/>
    <w:rsid w:val="00A072B1"/>
    <w:rsid w:val="00A11F89"/>
    <w:rsid w:val="00A127A4"/>
    <w:rsid w:val="00A1409C"/>
    <w:rsid w:val="00A14985"/>
    <w:rsid w:val="00A1594E"/>
    <w:rsid w:val="00A17FD2"/>
    <w:rsid w:val="00A2251F"/>
    <w:rsid w:val="00A2279F"/>
    <w:rsid w:val="00A2306D"/>
    <w:rsid w:val="00A2622F"/>
    <w:rsid w:val="00A263AB"/>
    <w:rsid w:val="00A30FD8"/>
    <w:rsid w:val="00A323C0"/>
    <w:rsid w:val="00A34ADE"/>
    <w:rsid w:val="00A4000C"/>
    <w:rsid w:val="00A40E90"/>
    <w:rsid w:val="00A41358"/>
    <w:rsid w:val="00A4340D"/>
    <w:rsid w:val="00A445A4"/>
    <w:rsid w:val="00A46875"/>
    <w:rsid w:val="00A51328"/>
    <w:rsid w:val="00A52C42"/>
    <w:rsid w:val="00A53188"/>
    <w:rsid w:val="00A53A78"/>
    <w:rsid w:val="00A5587C"/>
    <w:rsid w:val="00A57A0E"/>
    <w:rsid w:val="00A621F5"/>
    <w:rsid w:val="00A64204"/>
    <w:rsid w:val="00A66133"/>
    <w:rsid w:val="00A667EC"/>
    <w:rsid w:val="00A672EC"/>
    <w:rsid w:val="00A67A8F"/>
    <w:rsid w:val="00A67B91"/>
    <w:rsid w:val="00A71FF0"/>
    <w:rsid w:val="00A7266D"/>
    <w:rsid w:val="00A75160"/>
    <w:rsid w:val="00A756F5"/>
    <w:rsid w:val="00A759AC"/>
    <w:rsid w:val="00A77CA4"/>
    <w:rsid w:val="00A800E3"/>
    <w:rsid w:val="00A825DA"/>
    <w:rsid w:val="00A83E5E"/>
    <w:rsid w:val="00A83F73"/>
    <w:rsid w:val="00A84C2B"/>
    <w:rsid w:val="00A85954"/>
    <w:rsid w:val="00A86DB0"/>
    <w:rsid w:val="00A87AE1"/>
    <w:rsid w:val="00A90372"/>
    <w:rsid w:val="00A9145D"/>
    <w:rsid w:val="00A93D3B"/>
    <w:rsid w:val="00A93ED4"/>
    <w:rsid w:val="00A95FFE"/>
    <w:rsid w:val="00A961D9"/>
    <w:rsid w:val="00A97130"/>
    <w:rsid w:val="00A972B5"/>
    <w:rsid w:val="00A97E25"/>
    <w:rsid w:val="00A97EDE"/>
    <w:rsid w:val="00AA1381"/>
    <w:rsid w:val="00AA31B8"/>
    <w:rsid w:val="00AA637B"/>
    <w:rsid w:val="00AA7963"/>
    <w:rsid w:val="00AB1AA1"/>
    <w:rsid w:val="00AB1E80"/>
    <w:rsid w:val="00AB1F68"/>
    <w:rsid w:val="00AB2759"/>
    <w:rsid w:val="00AB54AF"/>
    <w:rsid w:val="00AB72FD"/>
    <w:rsid w:val="00AC0CEE"/>
    <w:rsid w:val="00AC200C"/>
    <w:rsid w:val="00AC4E11"/>
    <w:rsid w:val="00AC61D0"/>
    <w:rsid w:val="00AC70AB"/>
    <w:rsid w:val="00AD10A0"/>
    <w:rsid w:val="00AD652A"/>
    <w:rsid w:val="00AD671F"/>
    <w:rsid w:val="00AD700E"/>
    <w:rsid w:val="00AD706B"/>
    <w:rsid w:val="00AE1F95"/>
    <w:rsid w:val="00AE2068"/>
    <w:rsid w:val="00AE5CA8"/>
    <w:rsid w:val="00AE6FFB"/>
    <w:rsid w:val="00AF0C6B"/>
    <w:rsid w:val="00AF1DC5"/>
    <w:rsid w:val="00AF2921"/>
    <w:rsid w:val="00AF6208"/>
    <w:rsid w:val="00B001FD"/>
    <w:rsid w:val="00B03163"/>
    <w:rsid w:val="00B04D40"/>
    <w:rsid w:val="00B10FE1"/>
    <w:rsid w:val="00B123BF"/>
    <w:rsid w:val="00B15527"/>
    <w:rsid w:val="00B15EFF"/>
    <w:rsid w:val="00B16B1F"/>
    <w:rsid w:val="00B17400"/>
    <w:rsid w:val="00B20254"/>
    <w:rsid w:val="00B215AC"/>
    <w:rsid w:val="00B227FB"/>
    <w:rsid w:val="00B23209"/>
    <w:rsid w:val="00B23EB7"/>
    <w:rsid w:val="00B24063"/>
    <w:rsid w:val="00B24E64"/>
    <w:rsid w:val="00B25907"/>
    <w:rsid w:val="00B25D4F"/>
    <w:rsid w:val="00B2688B"/>
    <w:rsid w:val="00B346EE"/>
    <w:rsid w:val="00B354E5"/>
    <w:rsid w:val="00B3763D"/>
    <w:rsid w:val="00B4434D"/>
    <w:rsid w:val="00B45B22"/>
    <w:rsid w:val="00B50D2D"/>
    <w:rsid w:val="00B50EC5"/>
    <w:rsid w:val="00B51BE9"/>
    <w:rsid w:val="00B524A4"/>
    <w:rsid w:val="00B53D77"/>
    <w:rsid w:val="00B54889"/>
    <w:rsid w:val="00B55DCB"/>
    <w:rsid w:val="00B55DF4"/>
    <w:rsid w:val="00B5705A"/>
    <w:rsid w:val="00B57BF5"/>
    <w:rsid w:val="00B61C5B"/>
    <w:rsid w:val="00B620A6"/>
    <w:rsid w:val="00B63728"/>
    <w:rsid w:val="00B6436B"/>
    <w:rsid w:val="00B64618"/>
    <w:rsid w:val="00B6630B"/>
    <w:rsid w:val="00B673AB"/>
    <w:rsid w:val="00B70C50"/>
    <w:rsid w:val="00B72072"/>
    <w:rsid w:val="00B7367F"/>
    <w:rsid w:val="00B739C8"/>
    <w:rsid w:val="00B73CBD"/>
    <w:rsid w:val="00B73FD8"/>
    <w:rsid w:val="00B758BE"/>
    <w:rsid w:val="00B768C4"/>
    <w:rsid w:val="00B77559"/>
    <w:rsid w:val="00B77F0A"/>
    <w:rsid w:val="00B80E1B"/>
    <w:rsid w:val="00B81863"/>
    <w:rsid w:val="00B81F03"/>
    <w:rsid w:val="00B848AB"/>
    <w:rsid w:val="00B859CB"/>
    <w:rsid w:val="00B868B5"/>
    <w:rsid w:val="00B870D8"/>
    <w:rsid w:val="00B878BE"/>
    <w:rsid w:val="00B905DD"/>
    <w:rsid w:val="00B94543"/>
    <w:rsid w:val="00B94899"/>
    <w:rsid w:val="00B94D22"/>
    <w:rsid w:val="00B96532"/>
    <w:rsid w:val="00BA0B41"/>
    <w:rsid w:val="00BA1610"/>
    <w:rsid w:val="00BA17E8"/>
    <w:rsid w:val="00BA18EB"/>
    <w:rsid w:val="00BA2F5F"/>
    <w:rsid w:val="00BA59E3"/>
    <w:rsid w:val="00BA5B5F"/>
    <w:rsid w:val="00BA7171"/>
    <w:rsid w:val="00BA7544"/>
    <w:rsid w:val="00BB1635"/>
    <w:rsid w:val="00BB1A18"/>
    <w:rsid w:val="00BB2B60"/>
    <w:rsid w:val="00BB3213"/>
    <w:rsid w:val="00BB3367"/>
    <w:rsid w:val="00BB348D"/>
    <w:rsid w:val="00BB43FB"/>
    <w:rsid w:val="00BB65F6"/>
    <w:rsid w:val="00BB6753"/>
    <w:rsid w:val="00BC0603"/>
    <w:rsid w:val="00BC131C"/>
    <w:rsid w:val="00BC2402"/>
    <w:rsid w:val="00BC386E"/>
    <w:rsid w:val="00BC3FAC"/>
    <w:rsid w:val="00BC7E82"/>
    <w:rsid w:val="00BD0A97"/>
    <w:rsid w:val="00BD21D9"/>
    <w:rsid w:val="00BD464B"/>
    <w:rsid w:val="00BD5636"/>
    <w:rsid w:val="00BD5D72"/>
    <w:rsid w:val="00BD6646"/>
    <w:rsid w:val="00BD7394"/>
    <w:rsid w:val="00BE2B63"/>
    <w:rsid w:val="00BE5635"/>
    <w:rsid w:val="00BE6A19"/>
    <w:rsid w:val="00BE7FCF"/>
    <w:rsid w:val="00BF172C"/>
    <w:rsid w:val="00BF2255"/>
    <w:rsid w:val="00BF3680"/>
    <w:rsid w:val="00BF393A"/>
    <w:rsid w:val="00C00013"/>
    <w:rsid w:val="00C0072F"/>
    <w:rsid w:val="00C011D6"/>
    <w:rsid w:val="00C0129E"/>
    <w:rsid w:val="00C01BFD"/>
    <w:rsid w:val="00C022C7"/>
    <w:rsid w:val="00C02E30"/>
    <w:rsid w:val="00C03FCF"/>
    <w:rsid w:val="00C043AD"/>
    <w:rsid w:val="00C05AE6"/>
    <w:rsid w:val="00C0612D"/>
    <w:rsid w:val="00C12D33"/>
    <w:rsid w:val="00C13A74"/>
    <w:rsid w:val="00C15163"/>
    <w:rsid w:val="00C17E49"/>
    <w:rsid w:val="00C23B58"/>
    <w:rsid w:val="00C247B2"/>
    <w:rsid w:val="00C24821"/>
    <w:rsid w:val="00C24AA4"/>
    <w:rsid w:val="00C26905"/>
    <w:rsid w:val="00C269C9"/>
    <w:rsid w:val="00C327C8"/>
    <w:rsid w:val="00C327F8"/>
    <w:rsid w:val="00C3619B"/>
    <w:rsid w:val="00C3775E"/>
    <w:rsid w:val="00C40451"/>
    <w:rsid w:val="00C40CC8"/>
    <w:rsid w:val="00C4185E"/>
    <w:rsid w:val="00C4211F"/>
    <w:rsid w:val="00C46A19"/>
    <w:rsid w:val="00C47BEB"/>
    <w:rsid w:val="00C47CD8"/>
    <w:rsid w:val="00C524AA"/>
    <w:rsid w:val="00C52A72"/>
    <w:rsid w:val="00C55433"/>
    <w:rsid w:val="00C56AEB"/>
    <w:rsid w:val="00C56E91"/>
    <w:rsid w:val="00C56F6A"/>
    <w:rsid w:val="00C60200"/>
    <w:rsid w:val="00C62537"/>
    <w:rsid w:val="00C62DB1"/>
    <w:rsid w:val="00C63490"/>
    <w:rsid w:val="00C65FE5"/>
    <w:rsid w:val="00C728F9"/>
    <w:rsid w:val="00C74E32"/>
    <w:rsid w:val="00C7500E"/>
    <w:rsid w:val="00C75323"/>
    <w:rsid w:val="00C7647A"/>
    <w:rsid w:val="00C778A0"/>
    <w:rsid w:val="00C80168"/>
    <w:rsid w:val="00C80259"/>
    <w:rsid w:val="00C807E9"/>
    <w:rsid w:val="00C844FF"/>
    <w:rsid w:val="00C8557D"/>
    <w:rsid w:val="00C876BD"/>
    <w:rsid w:val="00C91B71"/>
    <w:rsid w:val="00C930B6"/>
    <w:rsid w:val="00C937F9"/>
    <w:rsid w:val="00C93D53"/>
    <w:rsid w:val="00C945B9"/>
    <w:rsid w:val="00C951A5"/>
    <w:rsid w:val="00C95A7B"/>
    <w:rsid w:val="00C95C04"/>
    <w:rsid w:val="00C96B8A"/>
    <w:rsid w:val="00C96DB7"/>
    <w:rsid w:val="00CA07FE"/>
    <w:rsid w:val="00CA0BF5"/>
    <w:rsid w:val="00CA3EE7"/>
    <w:rsid w:val="00CA61CE"/>
    <w:rsid w:val="00CB1E76"/>
    <w:rsid w:val="00CB2E49"/>
    <w:rsid w:val="00CB56AB"/>
    <w:rsid w:val="00CB5A60"/>
    <w:rsid w:val="00CB5C02"/>
    <w:rsid w:val="00CB6D8A"/>
    <w:rsid w:val="00CC1811"/>
    <w:rsid w:val="00CC249B"/>
    <w:rsid w:val="00CC24FC"/>
    <w:rsid w:val="00CC2638"/>
    <w:rsid w:val="00CC3297"/>
    <w:rsid w:val="00CC41F3"/>
    <w:rsid w:val="00CC47E9"/>
    <w:rsid w:val="00CC5CA5"/>
    <w:rsid w:val="00CD15F8"/>
    <w:rsid w:val="00CD1C0A"/>
    <w:rsid w:val="00CD2493"/>
    <w:rsid w:val="00CD338D"/>
    <w:rsid w:val="00CD548F"/>
    <w:rsid w:val="00CE0A17"/>
    <w:rsid w:val="00CE16CA"/>
    <w:rsid w:val="00CE1A6B"/>
    <w:rsid w:val="00CE2461"/>
    <w:rsid w:val="00CE4057"/>
    <w:rsid w:val="00CE4837"/>
    <w:rsid w:val="00CE56E9"/>
    <w:rsid w:val="00CE6003"/>
    <w:rsid w:val="00CF28F9"/>
    <w:rsid w:val="00CF5373"/>
    <w:rsid w:val="00CF5D3E"/>
    <w:rsid w:val="00D00D23"/>
    <w:rsid w:val="00D00EF2"/>
    <w:rsid w:val="00D026DF"/>
    <w:rsid w:val="00D0578A"/>
    <w:rsid w:val="00D05BF2"/>
    <w:rsid w:val="00D07737"/>
    <w:rsid w:val="00D1030F"/>
    <w:rsid w:val="00D1180E"/>
    <w:rsid w:val="00D11D92"/>
    <w:rsid w:val="00D12B49"/>
    <w:rsid w:val="00D13BE8"/>
    <w:rsid w:val="00D16466"/>
    <w:rsid w:val="00D17BF9"/>
    <w:rsid w:val="00D20856"/>
    <w:rsid w:val="00D20F68"/>
    <w:rsid w:val="00D21417"/>
    <w:rsid w:val="00D21883"/>
    <w:rsid w:val="00D230E9"/>
    <w:rsid w:val="00D27B47"/>
    <w:rsid w:val="00D36AAA"/>
    <w:rsid w:val="00D36E52"/>
    <w:rsid w:val="00D376DE"/>
    <w:rsid w:val="00D376F8"/>
    <w:rsid w:val="00D3799D"/>
    <w:rsid w:val="00D4521C"/>
    <w:rsid w:val="00D4554B"/>
    <w:rsid w:val="00D46B29"/>
    <w:rsid w:val="00D472F8"/>
    <w:rsid w:val="00D4739A"/>
    <w:rsid w:val="00D47AAF"/>
    <w:rsid w:val="00D47FDA"/>
    <w:rsid w:val="00D52554"/>
    <w:rsid w:val="00D56632"/>
    <w:rsid w:val="00D576CD"/>
    <w:rsid w:val="00D60190"/>
    <w:rsid w:val="00D635EA"/>
    <w:rsid w:val="00D6572A"/>
    <w:rsid w:val="00D65C7F"/>
    <w:rsid w:val="00D661F9"/>
    <w:rsid w:val="00D6648E"/>
    <w:rsid w:val="00D67E72"/>
    <w:rsid w:val="00D71847"/>
    <w:rsid w:val="00D71DF4"/>
    <w:rsid w:val="00D73F1E"/>
    <w:rsid w:val="00D763C3"/>
    <w:rsid w:val="00D77399"/>
    <w:rsid w:val="00D778A9"/>
    <w:rsid w:val="00D778FE"/>
    <w:rsid w:val="00D813C6"/>
    <w:rsid w:val="00D828FA"/>
    <w:rsid w:val="00D82F27"/>
    <w:rsid w:val="00D83258"/>
    <w:rsid w:val="00D832AE"/>
    <w:rsid w:val="00D84649"/>
    <w:rsid w:val="00D84D9E"/>
    <w:rsid w:val="00D84E10"/>
    <w:rsid w:val="00D86508"/>
    <w:rsid w:val="00D906C0"/>
    <w:rsid w:val="00D909B0"/>
    <w:rsid w:val="00D92DDD"/>
    <w:rsid w:val="00D9319C"/>
    <w:rsid w:val="00D9484E"/>
    <w:rsid w:val="00D96338"/>
    <w:rsid w:val="00D96F83"/>
    <w:rsid w:val="00D97211"/>
    <w:rsid w:val="00D9742B"/>
    <w:rsid w:val="00D97671"/>
    <w:rsid w:val="00DA2440"/>
    <w:rsid w:val="00DA511C"/>
    <w:rsid w:val="00DA594C"/>
    <w:rsid w:val="00DA5A3E"/>
    <w:rsid w:val="00DA6B24"/>
    <w:rsid w:val="00DB23CF"/>
    <w:rsid w:val="00DB281F"/>
    <w:rsid w:val="00DB2A78"/>
    <w:rsid w:val="00DB3A08"/>
    <w:rsid w:val="00DB3F13"/>
    <w:rsid w:val="00DB43D4"/>
    <w:rsid w:val="00DB56CD"/>
    <w:rsid w:val="00DB5D9E"/>
    <w:rsid w:val="00DB6A39"/>
    <w:rsid w:val="00DC00A2"/>
    <w:rsid w:val="00DC37EC"/>
    <w:rsid w:val="00DC48F3"/>
    <w:rsid w:val="00DC5CF0"/>
    <w:rsid w:val="00DC783D"/>
    <w:rsid w:val="00DC7C0B"/>
    <w:rsid w:val="00DD1A07"/>
    <w:rsid w:val="00DD1C85"/>
    <w:rsid w:val="00DD1D56"/>
    <w:rsid w:val="00DD288C"/>
    <w:rsid w:val="00DD2FE6"/>
    <w:rsid w:val="00DD5621"/>
    <w:rsid w:val="00DD5C4A"/>
    <w:rsid w:val="00DD5D95"/>
    <w:rsid w:val="00DD634E"/>
    <w:rsid w:val="00DD7506"/>
    <w:rsid w:val="00DD7B12"/>
    <w:rsid w:val="00DE037B"/>
    <w:rsid w:val="00DE2BF3"/>
    <w:rsid w:val="00DE2FB1"/>
    <w:rsid w:val="00DE37DF"/>
    <w:rsid w:val="00DE3EC5"/>
    <w:rsid w:val="00DE5E68"/>
    <w:rsid w:val="00DE67B3"/>
    <w:rsid w:val="00DE686A"/>
    <w:rsid w:val="00DE790A"/>
    <w:rsid w:val="00DE7D8C"/>
    <w:rsid w:val="00DF0C53"/>
    <w:rsid w:val="00DF2AA5"/>
    <w:rsid w:val="00DF2FEC"/>
    <w:rsid w:val="00E01AAD"/>
    <w:rsid w:val="00E0277B"/>
    <w:rsid w:val="00E030AC"/>
    <w:rsid w:val="00E05482"/>
    <w:rsid w:val="00E06E48"/>
    <w:rsid w:val="00E06E60"/>
    <w:rsid w:val="00E07866"/>
    <w:rsid w:val="00E07DA8"/>
    <w:rsid w:val="00E138F6"/>
    <w:rsid w:val="00E146C2"/>
    <w:rsid w:val="00E14BA3"/>
    <w:rsid w:val="00E14CD5"/>
    <w:rsid w:val="00E14F32"/>
    <w:rsid w:val="00E17D84"/>
    <w:rsid w:val="00E17E8D"/>
    <w:rsid w:val="00E2202E"/>
    <w:rsid w:val="00E22165"/>
    <w:rsid w:val="00E2502F"/>
    <w:rsid w:val="00E31183"/>
    <w:rsid w:val="00E32E74"/>
    <w:rsid w:val="00E332C1"/>
    <w:rsid w:val="00E33C19"/>
    <w:rsid w:val="00E340D6"/>
    <w:rsid w:val="00E36DA5"/>
    <w:rsid w:val="00E4132A"/>
    <w:rsid w:val="00E420A8"/>
    <w:rsid w:val="00E4278C"/>
    <w:rsid w:val="00E42D59"/>
    <w:rsid w:val="00E43A93"/>
    <w:rsid w:val="00E50344"/>
    <w:rsid w:val="00E51C2A"/>
    <w:rsid w:val="00E52948"/>
    <w:rsid w:val="00E53462"/>
    <w:rsid w:val="00E5395E"/>
    <w:rsid w:val="00E541B3"/>
    <w:rsid w:val="00E55306"/>
    <w:rsid w:val="00E55696"/>
    <w:rsid w:val="00E55C8A"/>
    <w:rsid w:val="00E567C6"/>
    <w:rsid w:val="00E57587"/>
    <w:rsid w:val="00E57711"/>
    <w:rsid w:val="00E601C0"/>
    <w:rsid w:val="00E60792"/>
    <w:rsid w:val="00E61688"/>
    <w:rsid w:val="00E61F2D"/>
    <w:rsid w:val="00E6289A"/>
    <w:rsid w:val="00E62DD6"/>
    <w:rsid w:val="00E63D69"/>
    <w:rsid w:val="00E65E4D"/>
    <w:rsid w:val="00E67A74"/>
    <w:rsid w:val="00E72467"/>
    <w:rsid w:val="00E73D71"/>
    <w:rsid w:val="00E82E63"/>
    <w:rsid w:val="00E83BF4"/>
    <w:rsid w:val="00E83FDD"/>
    <w:rsid w:val="00E84245"/>
    <w:rsid w:val="00E8483E"/>
    <w:rsid w:val="00E85172"/>
    <w:rsid w:val="00E85472"/>
    <w:rsid w:val="00E87568"/>
    <w:rsid w:val="00E87947"/>
    <w:rsid w:val="00E879AE"/>
    <w:rsid w:val="00E87EF8"/>
    <w:rsid w:val="00E9141B"/>
    <w:rsid w:val="00E91A01"/>
    <w:rsid w:val="00E934EE"/>
    <w:rsid w:val="00E93CDC"/>
    <w:rsid w:val="00E95371"/>
    <w:rsid w:val="00E95A5C"/>
    <w:rsid w:val="00E97BC7"/>
    <w:rsid w:val="00EA0787"/>
    <w:rsid w:val="00EA2078"/>
    <w:rsid w:val="00EA2BC6"/>
    <w:rsid w:val="00EA2BFA"/>
    <w:rsid w:val="00EA2F8B"/>
    <w:rsid w:val="00EA3985"/>
    <w:rsid w:val="00EA505A"/>
    <w:rsid w:val="00EA5152"/>
    <w:rsid w:val="00EA5825"/>
    <w:rsid w:val="00EB1134"/>
    <w:rsid w:val="00EB19BC"/>
    <w:rsid w:val="00EB2BBD"/>
    <w:rsid w:val="00EB334B"/>
    <w:rsid w:val="00EB3EF9"/>
    <w:rsid w:val="00EB4B47"/>
    <w:rsid w:val="00EB60DD"/>
    <w:rsid w:val="00EB7041"/>
    <w:rsid w:val="00EB7164"/>
    <w:rsid w:val="00EB76FD"/>
    <w:rsid w:val="00EC39B9"/>
    <w:rsid w:val="00EC4662"/>
    <w:rsid w:val="00EC4D0E"/>
    <w:rsid w:val="00EC6BF5"/>
    <w:rsid w:val="00EC6D7D"/>
    <w:rsid w:val="00EC70AB"/>
    <w:rsid w:val="00ED109D"/>
    <w:rsid w:val="00ED15F6"/>
    <w:rsid w:val="00ED4DF2"/>
    <w:rsid w:val="00ED528B"/>
    <w:rsid w:val="00ED76DE"/>
    <w:rsid w:val="00ED7B32"/>
    <w:rsid w:val="00EE0580"/>
    <w:rsid w:val="00EE3AC0"/>
    <w:rsid w:val="00EE765E"/>
    <w:rsid w:val="00EF02D9"/>
    <w:rsid w:val="00EF3D7D"/>
    <w:rsid w:val="00EF4E05"/>
    <w:rsid w:val="00EF61A0"/>
    <w:rsid w:val="00EF7CB9"/>
    <w:rsid w:val="00F0078E"/>
    <w:rsid w:val="00F00795"/>
    <w:rsid w:val="00F00AA4"/>
    <w:rsid w:val="00F0655F"/>
    <w:rsid w:val="00F129EB"/>
    <w:rsid w:val="00F148DF"/>
    <w:rsid w:val="00F171F3"/>
    <w:rsid w:val="00F2007A"/>
    <w:rsid w:val="00F21ECC"/>
    <w:rsid w:val="00F22938"/>
    <w:rsid w:val="00F23272"/>
    <w:rsid w:val="00F23F69"/>
    <w:rsid w:val="00F25F39"/>
    <w:rsid w:val="00F2708C"/>
    <w:rsid w:val="00F30E6F"/>
    <w:rsid w:val="00F3209A"/>
    <w:rsid w:val="00F32693"/>
    <w:rsid w:val="00F32C6F"/>
    <w:rsid w:val="00F3316E"/>
    <w:rsid w:val="00F3611E"/>
    <w:rsid w:val="00F37C9E"/>
    <w:rsid w:val="00F4031A"/>
    <w:rsid w:val="00F403E6"/>
    <w:rsid w:val="00F42BD0"/>
    <w:rsid w:val="00F431B2"/>
    <w:rsid w:val="00F445CB"/>
    <w:rsid w:val="00F446D9"/>
    <w:rsid w:val="00F44BBE"/>
    <w:rsid w:val="00F5079E"/>
    <w:rsid w:val="00F5130B"/>
    <w:rsid w:val="00F54CC2"/>
    <w:rsid w:val="00F5522E"/>
    <w:rsid w:val="00F618B0"/>
    <w:rsid w:val="00F61B82"/>
    <w:rsid w:val="00F625D5"/>
    <w:rsid w:val="00F667B3"/>
    <w:rsid w:val="00F66D1C"/>
    <w:rsid w:val="00F671BB"/>
    <w:rsid w:val="00F674D9"/>
    <w:rsid w:val="00F70E8B"/>
    <w:rsid w:val="00F7155C"/>
    <w:rsid w:val="00F730DB"/>
    <w:rsid w:val="00F75303"/>
    <w:rsid w:val="00F76D31"/>
    <w:rsid w:val="00F777F6"/>
    <w:rsid w:val="00F80130"/>
    <w:rsid w:val="00F80FCC"/>
    <w:rsid w:val="00F81628"/>
    <w:rsid w:val="00F83A67"/>
    <w:rsid w:val="00F85653"/>
    <w:rsid w:val="00F864F3"/>
    <w:rsid w:val="00F87A00"/>
    <w:rsid w:val="00F90EAA"/>
    <w:rsid w:val="00F9127C"/>
    <w:rsid w:val="00F9133D"/>
    <w:rsid w:val="00F93115"/>
    <w:rsid w:val="00F949C4"/>
    <w:rsid w:val="00F96425"/>
    <w:rsid w:val="00F96AA9"/>
    <w:rsid w:val="00F978F8"/>
    <w:rsid w:val="00FA37CE"/>
    <w:rsid w:val="00FA3B33"/>
    <w:rsid w:val="00FA3B8B"/>
    <w:rsid w:val="00FA5F6C"/>
    <w:rsid w:val="00FA7455"/>
    <w:rsid w:val="00FA7A28"/>
    <w:rsid w:val="00FB3774"/>
    <w:rsid w:val="00FB4014"/>
    <w:rsid w:val="00FB4507"/>
    <w:rsid w:val="00FB7411"/>
    <w:rsid w:val="00FB7691"/>
    <w:rsid w:val="00FC03EA"/>
    <w:rsid w:val="00FC0CB2"/>
    <w:rsid w:val="00FC0E9A"/>
    <w:rsid w:val="00FC32E0"/>
    <w:rsid w:val="00FC3321"/>
    <w:rsid w:val="00FC3A92"/>
    <w:rsid w:val="00FC4F3D"/>
    <w:rsid w:val="00FC514C"/>
    <w:rsid w:val="00FC54FD"/>
    <w:rsid w:val="00FC61C1"/>
    <w:rsid w:val="00FC6D96"/>
    <w:rsid w:val="00FC7675"/>
    <w:rsid w:val="00FD00FA"/>
    <w:rsid w:val="00FD0657"/>
    <w:rsid w:val="00FD0E10"/>
    <w:rsid w:val="00FD244E"/>
    <w:rsid w:val="00FD25EB"/>
    <w:rsid w:val="00FD44B9"/>
    <w:rsid w:val="00FD5DCB"/>
    <w:rsid w:val="00FD6D12"/>
    <w:rsid w:val="00FE3242"/>
    <w:rsid w:val="00FE5D12"/>
    <w:rsid w:val="00FE7B46"/>
    <w:rsid w:val="00FE7C75"/>
    <w:rsid w:val="00FF0236"/>
    <w:rsid w:val="00FF0511"/>
    <w:rsid w:val="00FF0EBD"/>
    <w:rsid w:val="00FF1CEB"/>
    <w:rsid w:val="00FF31E7"/>
    <w:rsid w:val="00FF3CF5"/>
    <w:rsid w:val="00FF446C"/>
    <w:rsid w:val="00FF63AF"/>
    <w:rsid w:val="00FF75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BD7BED0"/>
  <w15:docId w15:val="{BAE69936-C739-446E-8BE4-328291CE3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595959" w:themeColor="text1" w:themeTint="A6"/>
        <w:lang w:val="en-US" w:eastAsia="en-US" w:bidi="ar-SA"/>
      </w:rPr>
    </w:rPrDefault>
    <w:pPrDefault>
      <w:pPr>
        <w:spacing w:before="60" w:after="240" w:line="320" w:lineRule="exact"/>
      </w:pPr>
    </w:pPrDefault>
  </w:docDefaults>
  <w:latentStyles w:defLockedState="1" w:defUIPriority="99" w:defSemiHidden="0" w:defUnhideWhenUsed="0" w:defQFormat="0" w:count="371">
    <w:lsdException w:name="Normal" w:locked="0" w:uiPriority="0" w:qFormat="1"/>
    <w:lsdException w:name="heading 1" w:locked="0" w:uiPriority="1" w:qFormat="1"/>
    <w:lsdException w:name="heading 2" w:locked="0" w:semiHidden="1" w:uiPriority="1" w:unhideWhenUsed="1" w:qFormat="1"/>
    <w:lsdException w:name="heading 3" w:locked="0" w:semiHidden="1" w:uiPriority="1" w:unhideWhenUsed="1" w:qFormat="1"/>
    <w:lsdException w:name="heading 4" w:locked="0"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1" w:unhideWhenUsed="1"/>
    <w:lsdException w:name="toc 5" w:locked="0" w:semiHidden="1" w:uiPriority="11" w:unhideWhenUsed="1"/>
    <w:lsdException w:name="toc 6" w:locked="0" w:semiHidden="1" w:uiPriority="11" w:unhideWhenUsed="1"/>
    <w:lsdException w:name="toc 7" w:locked="0" w:semiHidden="1" w:uiPriority="11" w:unhideWhenUsed="1"/>
    <w:lsdException w:name="toc 8" w:locked="0" w:semiHidden="1" w:uiPriority="11" w:unhideWhenUsed="1"/>
    <w:lsdException w:name="toc 9" w:locked="0" w:semiHidden="1" w:uiPriority="11" w:unhideWhenUsed="1"/>
    <w:lsdException w:name="Normal Indent" w:semiHidden="1" w:unhideWhenUsed="1"/>
    <w:lsdException w:name="footnote text" w:semiHidden="1" w:uiPriority="0" w:unhideWhenUsed="1"/>
    <w:lsdException w:name="annotation text" w:semiHidden="1" w:uiPriority="0" w:unhideWhenUsed="1"/>
    <w:lsdException w:name="header" w:locked="0" w:semiHidden="1" w:unhideWhenUsed="1"/>
    <w:lsdException w:name="footer" w:locked="0" w:semiHidden="1" w:unhideWhenUsed="1" w:qFormat="1"/>
    <w:lsdException w:name="index heading" w:semiHidden="1" w:unhideWhenUsed="1"/>
    <w:lsdException w:name="caption" w:locked="0"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qFormat="1"/>
    <w:lsdException w:name="List 2" w:semiHidden="1" w:unhideWhenUsed="1"/>
    <w:lsdException w:name="List 3" w:semiHidden="1" w:unhideWhenUsed="1"/>
    <w:lsdException w:name="List 4" w:semiHidden="1"/>
    <w:lsdException w:name="List 5" w:semiHidden="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lsdException w:name="Signature" w:semiHidden="1" w:unhideWhenUsed="1"/>
    <w:lsdException w:name="Default Paragraph Font" w:locked="0" w:semiHidden="1" w:uiPriority="1" w:unhideWhenUsed="1"/>
    <w:lsdException w:name="Body Text" w:semiHidden="1" w:unhideWhenUsed="1" w:qFormat="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4"/>
    <w:lsdException w:name="Salutation" w:semiHidden="1"/>
    <w:lsdException w:name="Date" w:semiHidden="1"/>
    <w:lsdException w:name="Body Text First Indent" w:semiHidden="1"/>
    <w:lsdException w:name="Body Text First Indent 2" w:semiHidden="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14" w:qFormat="1"/>
    <w:lsdException w:name="Emphasis" w:uiPriority="14"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4" w:qFormat="1"/>
    <w:lsdException w:name="Quote" w:uiPriority="14" w:qFormat="1"/>
    <w:lsdException w:name="Intense Quote" w:uiPriority="1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4" w:qFormat="1"/>
    <w:lsdException w:name="Intense Emphasis" w:uiPriority="14" w:qFormat="1"/>
    <w:lsdException w:name="Subtle Reference" w:uiPriority="14" w:qFormat="1"/>
    <w:lsdException w:name="Intense Reference" w:uiPriority="14" w:qFormat="1"/>
    <w:lsdException w:name="Book Title" w:qFormat="1"/>
    <w:lsdException w:name="Bibliography" w:semiHidden="1" w:uiPriority="14"/>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215074"/>
    <w:pPr>
      <w:spacing w:line="360" w:lineRule="auto"/>
    </w:pPr>
  </w:style>
  <w:style w:type="paragraph" w:styleId="Heading1">
    <w:name w:val="heading 1"/>
    <w:next w:val="Normal"/>
    <w:link w:val="Heading1Char"/>
    <w:uiPriority w:val="1"/>
    <w:qFormat/>
    <w:rsid w:val="0074555A"/>
    <w:pPr>
      <w:keepNext/>
      <w:keepLines/>
      <w:numPr>
        <w:numId w:val="5"/>
      </w:numPr>
      <w:spacing w:before="480" w:line="240" w:lineRule="auto"/>
      <w:outlineLvl w:val="0"/>
    </w:pPr>
    <w:rPr>
      <w:rFonts w:ascii="Century Gothic" w:eastAsiaTheme="majorEastAsia" w:hAnsi="Century Gothic" w:cstheme="majorBidi"/>
      <w:bCs/>
      <w:color w:val="13324A"/>
      <w:sz w:val="48"/>
      <w:szCs w:val="36"/>
      <w:lang w:val="en-AU"/>
    </w:rPr>
  </w:style>
  <w:style w:type="paragraph" w:styleId="Heading2">
    <w:name w:val="heading 2"/>
    <w:basedOn w:val="Heading1"/>
    <w:next w:val="Normal"/>
    <w:link w:val="Heading2Char"/>
    <w:uiPriority w:val="1"/>
    <w:qFormat/>
    <w:rsid w:val="00A83F73"/>
    <w:pPr>
      <w:numPr>
        <w:ilvl w:val="1"/>
      </w:numPr>
      <w:spacing w:before="400" w:after="120"/>
      <w:outlineLvl w:val="1"/>
    </w:pPr>
    <w:rPr>
      <w:rFonts w:cstheme="minorHAnsi"/>
      <w:bCs w:val="0"/>
      <w:sz w:val="42"/>
      <w:szCs w:val="26"/>
    </w:rPr>
  </w:style>
  <w:style w:type="paragraph" w:styleId="Heading3">
    <w:name w:val="heading 3"/>
    <w:basedOn w:val="Heading2"/>
    <w:next w:val="Normal"/>
    <w:link w:val="Heading3Char"/>
    <w:uiPriority w:val="1"/>
    <w:qFormat/>
    <w:rsid w:val="000D7B49"/>
    <w:pPr>
      <w:numPr>
        <w:ilvl w:val="2"/>
      </w:numPr>
      <w:spacing w:before="320"/>
      <w:outlineLvl w:val="2"/>
    </w:pPr>
    <w:rPr>
      <w:bCs/>
      <w:sz w:val="32"/>
    </w:rPr>
  </w:style>
  <w:style w:type="paragraph" w:styleId="Heading4">
    <w:name w:val="heading 4"/>
    <w:basedOn w:val="Heading3"/>
    <w:next w:val="Normal"/>
    <w:link w:val="Heading4Char"/>
    <w:uiPriority w:val="1"/>
    <w:qFormat/>
    <w:rsid w:val="000D7B49"/>
    <w:pPr>
      <w:numPr>
        <w:ilvl w:val="3"/>
      </w:numPr>
      <w:outlineLvl w:val="3"/>
    </w:pPr>
    <w:rPr>
      <w:bCs w:val="0"/>
      <w:color w:val="808080" w:themeColor="background1" w:themeShade="80"/>
      <w:sz w:val="28"/>
      <w14:scene3d>
        <w14:camera w14:prst="orthographicFront"/>
        <w14:lightRig w14:rig="threePt" w14:dir="t">
          <w14:rot w14:lat="0" w14:lon="0" w14:rev="0"/>
        </w14:lightRig>
      </w14:scene3d>
    </w:rPr>
  </w:style>
  <w:style w:type="paragraph" w:styleId="Heading5">
    <w:name w:val="heading 5"/>
    <w:basedOn w:val="Normal"/>
    <w:next w:val="Normal"/>
    <w:link w:val="Heading5Char"/>
    <w:uiPriority w:val="1"/>
    <w:semiHidden/>
    <w:qFormat/>
    <w:locked/>
    <w:rsid w:val="000C39CD"/>
    <w:pPr>
      <w:keepNext/>
      <w:keepLines/>
      <w:numPr>
        <w:ilvl w:val="4"/>
        <w:numId w:val="5"/>
      </w:numPr>
      <w:spacing w:before="200"/>
      <w:outlineLvl w:val="4"/>
    </w:pPr>
    <w:rPr>
      <w:rFonts w:eastAsiaTheme="majorEastAsia" w:cstheme="majorBidi"/>
    </w:rPr>
  </w:style>
  <w:style w:type="paragraph" w:styleId="Heading6">
    <w:name w:val="heading 6"/>
    <w:basedOn w:val="Normal"/>
    <w:next w:val="Normal"/>
    <w:link w:val="Heading6Char"/>
    <w:uiPriority w:val="1"/>
    <w:semiHidden/>
    <w:qFormat/>
    <w:locked/>
    <w:rsid w:val="00611279"/>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1"/>
    <w:semiHidden/>
    <w:qFormat/>
    <w:locked/>
    <w:rsid w:val="00611279"/>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
    <w:semiHidden/>
    <w:qFormat/>
    <w:locked/>
    <w:rsid w:val="00611279"/>
    <w:pPr>
      <w:keepNext/>
      <w:keepLines/>
      <w:numPr>
        <w:ilvl w:val="7"/>
        <w:numId w:val="5"/>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
    <w:semiHidden/>
    <w:qFormat/>
    <w:locked/>
    <w:rsid w:val="00611279"/>
    <w:pPr>
      <w:keepNext/>
      <w:keepLines/>
      <w:numPr>
        <w:ilvl w:val="8"/>
        <w:numId w:val="5"/>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4555A"/>
    <w:rPr>
      <w:rFonts w:ascii="Century Gothic" w:eastAsiaTheme="majorEastAsia" w:hAnsi="Century Gothic" w:cstheme="majorBidi"/>
      <w:bCs/>
      <w:color w:val="13324A"/>
      <w:sz w:val="48"/>
      <w:szCs w:val="36"/>
      <w:lang w:val="en-AU"/>
    </w:rPr>
  </w:style>
  <w:style w:type="character" w:customStyle="1" w:styleId="Heading2Char">
    <w:name w:val="Heading 2 Char"/>
    <w:basedOn w:val="DefaultParagraphFont"/>
    <w:link w:val="Heading2"/>
    <w:uiPriority w:val="1"/>
    <w:rsid w:val="00A83F73"/>
    <w:rPr>
      <w:rFonts w:ascii="Tw Cen MT" w:eastAsiaTheme="majorEastAsia" w:hAnsi="Tw Cen MT" w:cstheme="minorHAnsi"/>
      <w:color w:val="13324A"/>
      <w:sz w:val="42"/>
      <w:szCs w:val="26"/>
      <w:lang w:val="en-AU"/>
    </w:rPr>
  </w:style>
  <w:style w:type="character" w:customStyle="1" w:styleId="Heading3Char">
    <w:name w:val="Heading 3 Char"/>
    <w:basedOn w:val="DefaultParagraphFont"/>
    <w:link w:val="Heading3"/>
    <w:uiPriority w:val="1"/>
    <w:rsid w:val="000D7B49"/>
    <w:rPr>
      <w:rFonts w:ascii="Tw Cen MT" w:eastAsiaTheme="majorEastAsia" w:hAnsi="Tw Cen MT" w:cstheme="minorHAnsi"/>
      <w:bCs/>
      <w:color w:val="13324A"/>
      <w:sz w:val="32"/>
      <w:szCs w:val="26"/>
      <w:lang w:val="en-AU"/>
    </w:rPr>
  </w:style>
  <w:style w:type="character" w:customStyle="1" w:styleId="Heading4Char">
    <w:name w:val="Heading 4 Char"/>
    <w:basedOn w:val="DefaultParagraphFont"/>
    <w:link w:val="Heading4"/>
    <w:uiPriority w:val="1"/>
    <w:rsid w:val="000D7B49"/>
    <w:rPr>
      <w:rFonts w:ascii="Tw Cen MT" w:eastAsiaTheme="majorEastAsia" w:hAnsi="Tw Cen MT" w:cstheme="minorHAnsi"/>
      <w:color w:val="808080" w:themeColor="background1" w:themeShade="80"/>
      <w:sz w:val="28"/>
      <w:szCs w:val="26"/>
      <w:lang w:val="en-AU"/>
      <w14:scene3d>
        <w14:camera w14:prst="orthographicFront"/>
        <w14:lightRig w14:rig="threePt" w14:dir="t">
          <w14:rot w14:lat="0" w14:lon="0" w14:rev="0"/>
        </w14:lightRig>
      </w14:scene3d>
    </w:rPr>
  </w:style>
  <w:style w:type="character" w:customStyle="1" w:styleId="Heading5Char">
    <w:name w:val="Heading 5 Char"/>
    <w:basedOn w:val="DefaultParagraphFont"/>
    <w:link w:val="Heading5"/>
    <w:uiPriority w:val="1"/>
    <w:semiHidden/>
    <w:rsid w:val="00960B8C"/>
    <w:rPr>
      <w:rFonts w:eastAsiaTheme="majorEastAsia" w:cstheme="majorBidi"/>
    </w:rPr>
  </w:style>
  <w:style w:type="character" w:customStyle="1" w:styleId="Heading6Char">
    <w:name w:val="Heading 6 Char"/>
    <w:basedOn w:val="DefaultParagraphFont"/>
    <w:link w:val="Heading6"/>
    <w:uiPriority w:val="1"/>
    <w:semiHidden/>
    <w:rsid w:val="00F3316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1"/>
    <w:semiHidden/>
    <w:rsid w:val="00F3316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1"/>
    <w:semiHidden/>
    <w:rsid w:val="00F3316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1"/>
    <w:semiHidden/>
    <w:rsid w:val="00F3316E"/>
    <w:rPr>
      <w:rFonts w:asciiTheme="majorHAnsi" w:eastAsiaTheme="majorEastAsia" w:hAnsiTheme="majorHAnsi" w:cstheme="majorBidi"/>
      <w:i/>
      <w:iCs/>
      <w:color w:val="404040" w:themeColor="text1" w:themeTint="BF"/>
    </w:rPr>
  </w:style>
  <w:style w:type="paragraph" w:customStyle="1" w:styleId="TableText">
    <w:name w:val="Table Text"/>
    <w:link w:val="TableTextChar"/>
    <w:uiPriority w:val="3"/>
    <w:semiHidden/>
    <w:qFormat/>
    <w:rsid w:val="008E3FE1"/>
    <w:rPr>
      <w:lang w:val="en-AU"/>
    </w:rPr>
  </w:style>
  <w:style w:type="character" w:customStyle="1" w:styleId="TableTextChar">
    <w:name w:val="Table Text Char"/>
    <w:basedOn w:val="DefaultParagraphFont"/>
    <w:link w:val="TableText"/>
    <w:uiPriority w:val="3"/>
    <w:semiHidden/>
    <w:rsid w:val="00960B8C"/>
    <w:rPr>
      <w:lang w:val="en-AU"/>
    </w:rPr>
  </w:style>
  <w:style w:type="table" w:styleId="TableGrid">
    <w:name w:val="Table Grid"/>
    <w:basedOn w:val="TableNormal"/>
    <w:uiPriority w:val="59"/>
    <w:locked/>
    <w:rsid w:val="00611279"/>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link w:val="TOC1Char"/>
    <w:uiPriority w:val="39"/>
    <w:rsid w:val="004B64BC"/>
    <w:pPr>
      <w:tabs>
        <w:tab w:val="left" w:pos="567"/>
        <w:tab w:val="right" w:leader="dot" w:pos="9639"/>
      </w:tabs>
      <w:spacing w:before="240" w:after="120"/>
      <w:ind w:left="567" w:right="1134" w:hanging="567"/>
    </w:pPr>
    <w:rPr>
      <w:rFonts w:eastAsia="Times New Roman" w:cs="Times New Roman"/>
      <w:b/>
    </w:rPr>
  </w:style>
  <w:style w:type="character" w:customStyle="1" w:styleId="TOC1Char">
    <w:name w:val="TOC 1 Char"/>
    <w:basedOn w:val="DefaultParagraphFont"/>
    <w:link w:val="TOC1"/>
    <w:uiPriority w:val="39"/>
    <w:semiHidden/>
    <w:rsid w:val="00960B8C"/>
    <w:rPr>
      <w:rFonts w:asciiTheme="minorHAnsi" w:eastAsia="Times New Roman" w:hAnsiTheme="minorHAnsi" w:cs="Times New Roman"/>
      <w:b/>
      <w:sz w:val="24"/>
      <w:lang w:val="en-AU"/>
    </w:rPr>
  </w:style>
  <w:style w:type="paragraph" w:styleId="TOC2">
    <w:name w:val="toc 2"/>
    <w:basedOn w:val="Normal"/>
    <w:link w:val="TOC2Char"/>
    <w:uiPriority w:val="39"/>
    <w:rsid w:val="004B64BC"/>
    <w:pPr>
      <w:tabs>
        <w:tab w:val="left" w:pos="1418"/>
        <w:tab w:val="right" w:leader="dot" w:pos="9639"/>
      </w:tabs>
      <w:spacing w:before="0" w:after="120"/>
      <w:ind w:left="1418" w:right="1134" w:hanging="851"/>
    </w:pPr>
    <w:rPr>
      <w:rFonts w:eastAsia="Times New Roman" w:cs="Times New Roman"/>
      <w:noProof/>
    </w:rPr>
  </w:style>
  <w:style w:type="character" w:customStyle="1" w:styleId="TOC2Char">
    <w:name w:val="TOC 2 Char"/>
    <w:basedOn w:val="DefaultParagraphFont"/>
    <w:link w:val="TOC2"/>
    <w:uiPriority w:val="39"/>
    <w:semiHidden/>
    <w:rsid w:val="00960B8C"/>
    <w:rPr>
      <w:rFonts w:asciiTheme="minorHAnsi" w:eastAsia="Times New Roman" w:hAnsiTheme="minorHAnsi" w:cs="Times New Roman"/>
      <w:noProof/>
      <w:sz w:val="24"/>
      <w:lang w:val="en-AU"/>
    </w:rPr>
  </w:style>
  <w:style w:type="paragraph" w:styleId="TOC3">
    <w:name w:val="toc 3"/>
    <w:basedOn w:val="Normal"/>
    <w:link w:val="TOC3Char"/>
    <w:uiPriority w:val="39"/>
    <w:rsid w:val="004B64BC"/>
    <w:pPr>
      <w:tabs>
        <w:tab w:val="left" w:pos="1418"/>
        <w:tab w:val="right" w:leader="dot" w:pos="9639"/>
      </w:tabs>
      <w:spacing w:before="0" w:after="120"/>
      <w:ind w:left="1418" w:right="1134" w:hanging="851"/>
    </w:pPr>
    <w:rPr>
      <w:rFonts w:eastAsiaTheme="minorEastAsia" w:cs="Times New Roman"/>
      <w:noProof/>
      <w:lang w:eastAsia="en-AU"/>
    </w:rPr>
  </w:style>
  <w:style w:type="character" w:customStyle="1" w:styleId="TOC3Char">
    <w:name w:val="TOC 3 Char"/>
    <w:basedOn w:val="DefaultParagraphFont"/>
    <w:link w:val="TOC3"/>
    <w:uiPriority w:val="39"/>
    <w:semiHidden/>
    <w:rsid w:val="00960B8C"/>
    <w:rPr>
      <w:rFonts w:asciiTheme="minorHAnsi" w:eastAsiaTheme="minorEastAsia" w:hAnsiTheme="minorHAnsi" w:cs="Times New Roman"/>
      <w:noProof/>
      <w:sz w:val="24"/>
      <w:lang w:val="en-AU" w:eastAsia="en-AU"/>
    </w:rPr>
  </w:style>
  <w:style w:type="paragraph" w:styleId="TOC4">
    <w:name w:val="toc 4"/>
    <w:basedOn w:val="Normal"/>
    <w:next w:val="Normal"/>
    <w:uiPriority w:val="11"/>
    <w:semiHidden/>
    <w:rsid w:val="00611279"/>
    <w:pPr>
      <w:spacing w:after="100"/>
      <w:ind w:left="720"/>
    </w:pPr>
  </w:style>
  <w:style w:type="paragraph" w:customStyle="1" w:styleId="Heading1nonumber">
    <w:name w:val="Heading 1 no number"/>
    <w:basedOn w:val="Heading1"/>
    <w:next w:val="Normal"/>
    <w:link w:val="Heading1nonumberChar"/>
    <w:uiPriority w:val="2"/>
    <w:qFormat/>
    <w:rsid w:val="00C844FF"/>
    <w:pPr>
      <w:numPr>
        <w:numId w:val="0"/>
      </w:numPr>
    </w:pPr>
  </w:style>
  <w:style w:type="character" w:customStyle="1" w:styleId="Heading1nonumberChar">
    <w:name w:val="Heading 1 no number Char"/>
    <w:basedOn w:val="DefaultParagraphFont"/>
    <w:link w:val="Heading1nonumber"/>
    <w:uiPriority w:val="2"/>
    <w:rsid w:val="000B4632"/>
    <w:rPr>
      <w:rFonts w:ascii="Tw Cen MT" w:eastAsiaTheme="majorEastAsia" w:hAnsi="Tw Cen MT" w:cstheme="majorBidi"/>
      <w:bCs/>
      <w:color w:val="13324A"/>
      <w:sz w:val="52"/>
      <w:szCs w:val="36"/>
      <w:lang w:val="en-AU"/>
    </w:rPr>
  </w:style>
  <w:style w:type="paragraph" w:customStyle="1" w:styleId="Heading2nonumber">
    <w:name w:val="Heading 2 no number"/>
    <w:basedOn w:val="Heading1"/>
    <w:next w:val="Normal"/>
    <w:link w:val="Heading2nonumberChar"/>
    <w:uiPriority w:val="2"/>
    <w:qFormat/>
    <w:rsid w:val="00C844FF"/>
    <w:pPr>
      <w:numPr>
        <w:numId w:val="0"/>
      </w:numPr>
      <w:spacing w:before="400"/>
    </w:pPr>
  </w:style>
  <w:style w:type="character" w:customStyle="1" w:styleId="Heading2nonumberChar">
    <w:name w:val="Heading 2 no number Char"/>
    <w:basedOn w:val="Heading1nonumberChar"/>
    <w:link w:val="Heading2nonumber"/>
    <w:uiPriority w:val="2"/>
    <w:rsid w:val="000B4632"/>
    <w:rPr>
      <w:rFonts w:ascii="Tw Cen MT" w:eastAsiaTheme="majorEastAsia" w:hAnsi="Tw Cen MT" w:cstheme="majorBidi"/>
      <w:bCs w:val="0"/>
      <w:color w:val="13324A"/>
      <w:sz w:val="52"/>
      <w:szCs w:val="36"/>
      <w:lang w:val="en-AU"/>
    </w:rPr>
  </w:style>
  <w:style w:type="paragraph" w:customStyle="1" w:styleId="Heading3nonumber">
    <w:name w:val="Heading 3 no number"/>
    <w:basedOn w:val="Heading2nonumber"/>
    <w:next w:val="Normal"/>
    <w:link w:val="Heading3nonumberChar"/>
    <w:uiPriority w:val="2"/>
    <w:qFormat/>
    <w:rsid w:val="00967605"/>
    <w:pPr>
      <w:spacing w:before="320"/>
    </w:pPr>
    <w:rPr>
      <w:sz w:val="28"/>
    </w:rPr>
  </w:style>
  <w:style w:type="character" w:customStyle="1" w:styleId="Heading3nonumberChar">
    <w:name w:val="Heading 3 no number Char"/>
    <w:basedOn w:val="Heading2nonumberChar"/>
    <w:link w:val="Heading3nonumber"/>
    <w:uiPriority w:val="2"/>
    <w:rsid w:val="00967605"/>
    <w:rPr>
      <w:rFonts w:ascii="Tw Cen MT" w:eastAsiaTheme="majorEastAsia" w:hAnsi="Tw Cen MT" w:cstheme="majorBidi"/>
      <w:bCs w:val="0"/>
      <w:color w:val="3E3F40"/>
      <w:sz w:val="28"/>
      <w:szCs w:val="36"/>
      <w:lang w:val="en-AU"/>
    </w:rPr>
  </w:style>
  <w:style w:type="paragraph" w:customStyle="1" w:styleId="Heading4nonumber">
    <w:name w:val="Heading 4 no number"/>
    <w:basedOn w:val="Heading3nonumber"/>
    <w:next w:val="Normal"/>
    <w:link w:val="Heading4nonumberChar"/>
    <w:uiPriority w:val="2"/>
    <w:qFormat/>
    <w:rsid w:val="0025404B"/>
    <w:pPr>
      <w:spacing w:before="240" w:after="120"/>
    </w:pPr>
  </w:style>
  <w:style w:type="character" w:customStyle="1" w:styleId="Heading4nonumberChar">
    <w:name w:val="Heading 4 no number Char"/>
    <w:basedOn w:val="Heading3nonumberChar"/>
    <w:link w:val="Heading4nonumber"/>
    <w:uiPriority w:val="2"/>
    <w:rsid w:val="0025404B"/>
    <w:rPr>
      <w:rFonts w:ascii="Tw Cen MT" w:eastAsiaTheme="majorEastAsia" w:hAnsi="Tw Cen MT" w:cstheme="majorBidi"/>
      <w:bCs w:val="0"/>
      <w:color w:val="3E3F40"/>
      <w:sz w:val="28"/>
      <w:szCs w:val="36"/>
      <w:lang w:val="en-AU"/>
    </w:rPr>
  </w:style>
  <w:style w:type="paragraph" w:customStyle="1" w:styleId="TableColumnHeading">
    <w:name w:val="Table Column Heading"/>
    <w:link w:val="TableColumnHeadingChar"/>
    <w:uiPriority w:val="3"/>
    <w:semiHidden/>
    <w:qFormat/>
    <w:rsid w:val="00F90EAA"/>
    <w:pPr>
      <w:keepNext/>
      <w:keepLines/>
    </w:pPr>
    <w:rPr>
      <w:b/>
      <w:color w:val="FFFFFF" w:themeColor="background1"/>
      <w:lang w:val="en-AU"/>
    </w:rPr>
  </w:style>
  <w:style w:type="character" w:customStyle="1" w:styleId="TableColumnHeadingChar">
    <w:name w:val="Table Column Heading Char"/>
    <w:basedOn w:val="DefaultParagraphFont"/>
    <w:link w:val="TableColumnHeading"/>
    <w:uiPriority w:val="3"/>
    <w:semiHidden/>
    <w:rsid w:val="00F90EAA"/>
    <w:rPr>
      <w:b/>
      <w:color w:val="FFFFFF" w:themeColor="background1"/>
      <w:lang w:val="en-AU"/>
    </w:rPr>
  </w:style>
  <w:style w:type="paragraph" w:customStyle="1" w:styleId="FinePrint">
    <w:name w:val="Fine Print"/>
    <w:next w:val="Normal"/>
    <w:link w:val="FinePrintChar"/>
    <w:uiPriority w:val="11"/>
    <w:semiHidden/>
    <w:qFormat/>
    <w:rsid w:val="00611279"/>
    <w:pPr>
      <w:spacing w:before="120"/>
    </w:pPr>
    <w:rPr>
      <w:rFonts w:eastAsiaTheme="majorEastAsia" w:cstheme="majorBidi"/>
      <w:bCs/>
      <w:szCs w:val="28"/>
      <w:lang w:val="en-AU"/>
    </w:rPr>
  </w:style>
  <w:style w:type="character" w:customStyle="1" w:styleId="FinePrintChar">
    <w:name w:val="Fine Print Char"/>
    <w:basedOn w:val="DefaultParagraphFont"/>
    <w:link w:val="FinePrint"/>
    <w:uiPriority w:val="11"/>
    <w:semiHidden/>
    <w:rsid w:val="00960B8C"/>
    <w:rPr>
      <w:rFonts w:eastAsiaTheme="majorEastAsia" w:cstheme="majorBidi"/>
      <w:bCs/>
      <w:szCs w:val="28"/>
      <w:lang w:val="en-AU"/>
    </w:rPr>
  </w:style>
  <w:style w:type="character" w:styleId="Hyperlink">
    <w:name w:val="Hyperlink"/>
    <w:basedOn w:val="DefaultParagraphFont"/>
    <w:uiPriority w:val="99"/>
    <w:locked/>
    <w:rsid w:val="00611279"/>
    <w:rPr>
      <w:color w:val="0000FF" w:themeColor="hyperlink"/>
      <w:u w:val="single"/>
    </w:rPr>
  </w:style>
  <w:style w:type="paragraph" w:styleId="BalloonText">
    <w:name w:val="Balloon Text"/>
    <w:basedOn w:val="Normal"/>
    <w:link w:val="BalloonTextChar"/>
    <w:uiPriority w:val="99"/>
    <w:semiHidden/>
    <w:locked/>
    <w:rsid w:val="0061127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057"/>
    <w:rPr>
      <w:rFonts w:ascii="Tahoma" w:hAnsi="Tahoma" w:cs="Tahoma"/>
      <w:sz w:val="16"/>
      <w:szCs w:val="16"/>
      <w:lang w:val="en-AU"/>
    </w:rPr>
  </w:style>
  <w:style w:type="paragraph" w:styleId="Header">
    <w:name w:val="header"/>
    <w:link w:val="HeaderChar"/>
    <w:uiPriority w:val="99"/>
    <w:rsid w:val="00FA3B33"/>
    <w:pPr>
      <w:tabs>
        <w:tab w:val="center" w:pos="4820"/>
        <w:tab w:val="right" w:pos="9639"/>
      </w:tabs>
      <w:spacing w:before="0" w:after="0"/>
    </w:pPr>
    <w:rPr>
      <w:rFonts w:ascii="Tw Cen MT" w:hAnsi="Tw Cen MT"/>
      <w:color w:val="5F5F5F"/>
      <w:lang w:val="en-AU"/>
    </w:rPr>
  </w:style>
  <w:style w:type="character" w:customStyle="1" w:styleId="HeaderChar">
    <w:name w:val="Header Char"/>
    <w:basedOn w:val="DefaultParagraphFont"/>
    <w:link w:val="Header"/>
    <w:uiPriority w:val="99"/>
    <w:rsid w:val="00FA3B33"/>
    <w:rPr>
      <w:rFonts w:ascii="Tw Cen MT" w:hAnsi="Tw Cen MT"/>
      <w:color w:val="5F5F5F"/>
      <w:lang w:val="en-AU"/>
    </w:rPr>
  </w:style>
  <w:style w:type="paragraph" w:styleId="Footer">
    <w:name w:val="footer"/>
    <w:next w:val="Normal"/>
    <w:link w:val="FooterChar"/>
    <w:uiPriority w:val="99"/>
    <w:qFormat/>
    <w:rsid w:val="00F54CC2"/>
    <w:pPr>
      <w:tabs>
        <w:tab w:val="center" w:pos="4536"/>
        <w:tab w:val="right" w:pos="9072"/>
      </w:tabs>
      <w:spacing w:before="240" w:after="0"/>
      <w:jc w:val="right"/>
    </w:pPr>
    <w:rPr>
      <w:rFonts w:ascii="Tw Cen MT" w:hAnsi="Tw Cen MT"/>
      <w:color w:val="5F5F5F"/>
      <w:sz w:val="22"/>
    </w:rPr>
  </w:style>
  <w:style w:type="character" w:customStyle="1" w:styleId="FooterChar">
    <w:name w:val="Footer Char"/>
    <w:basedOn w:val="DefaultParagraphFont"/>
    <w:link w:val="Footer"/>
    <w:uiPriority w:val="99"/>
    <w:rsid w:val="00F54CC2"/>
    <w:rPr>
      <w:rFonts w:ascii="Tw Cen MT" w:hAnsi="Tw Cen MT"/>
      <w:color w:val="5F5F5F"/>
      <w:sz w:val="22"/>
    </w:rPr>
  </w:style>
  <w:style w:type="paragraph" w:customStyle="1" w:styleId="ListBulletL1">
    <w:name w:val="List Bullet L1"/>
    <w:link w:val="ListBulletL1Char"/>
    <w:uiPriority w:val="12"/>
    <w:qFormat/>
    <w:rsid w:val="00C844FF"/>
    <w:pPr>
      <w:numPr>
        <w:numId w:val="1"/>
      </w:numPr>
      <w:spacing w:before="0" w:after="120"/>
      <w:contextualSpacing/>
    </w:pPr>
    <w:rPr>
      <w:color w:val="5F5F5F"/>
      <w:lang w:val="en-AU"/>
    </w:rPr>
  </w:style>
  <w:style w:type="character" w:customStyle="1" w:styleId="ListBulletL1Char">
    <w:name w:val="List Bullet L1 Char"/>
    <w:basedOn w:val="DefaultParagraphFont"/>
    <w:link w:val="ListBulletL1"/>
    <w:uiPriority w:val="12"/>
    <w:rsid w:val="00C844FF"/>
    <w:rPr>
      <w:color w:val="5F5F5F"/>
      <w:lang w:val="en-AU"/>
    </w:rPr>
  </w:style>
  <w:style w:type="paragraph" w:customStyle="1" w:styleId="ListNumberL1">
    <w:name w:val="List Number L1"/>
    <w:link w:val="ListNumberL1Char1"/>
    <w:uiPriority w:val="12"/>
    <w:qFormat/>
    <w:rsid w:val="004B6F7E"/>
    <w:pPr>
      <w:numPr>
        <w:numId w:val="8"/>
      </w:numPr>
      <w:spacing w:before="120" w:after="0"/>
    </w:pPr>
    <w:rPr>
      <w:rFonts w:eastAsia="Times New Roman" w:cs="Times New Roman"/>
      <w:color w:val="5F5F5F"/>
      <w:sz w:val="22"/>
      <w:lang w:val="en-AU"/>
    </w:rPr>
  </w:style>
  <w:style w:type="character" w:customStyle="1" w:styleId="ListNumberL1Char1">
    <w:name w:val="List Number L1 Char1"/>
    <w:basedOn w:val="DefaultParagraphFont"/>
    <w:link w:val="ListNumberL1"/>
    <w:uiPriority w:val="12"/>
    <w:rsid w:val="004B6F7E"/>
    <w:rPr>
      <w:rFonts w:eastAsia="Times New Roman" w:cs="Times New Roman"/>
      <w:color w:val="5F5F5F"/>
      <w:sz w:val="22"/>
      <w:lang w:val="en-AU"/>
    </w:rPr>
  </w:style>
  <w:style w:type="paragraph" w:customStyle="1" w:styleId="ListNumberL2">
    <w:name w:val="List Number L2"/>
    <w:basedOn w:val="ListNumberL1"/>
    <w:link w:val="ListNumberL2Char"/>
    <w:uiPriority w:val="12"/>
    <w:qFormat/>
    <w:rsid w:val="004B6F7E"/>
    <w:pPr>
      <w:numPr>
        <w:ilvl w:val="1"/>
      </w:numPr>
    </w:pPr>
  </w:style>
  <w:style w:type="character" w:customStyle="1" w:styleId="ListNumberL2Char">
    <w:name w:val="List Number L2 Char"/>
    <w:basedOn w:val="ListParagraphChar"/>
    <w:link w:val="ListNumberL2"/>
    <w:uiPriority w:val="12"/>
    <w:rsid w:val="004B6F7E"/>
    <w:rPr>
      <w:rFonts w:asciiTheme="minorHAnsi" w:eastAsia="Times New Roman" w:hAnsiTheme="minorHAnsi" w:cs="Times New Roman"/>
      <w:color w:val="5F5F5F"/>
      <w:sz w:val="22"/>
      <w:lang w:val="en-AU"/>
    </w:rPr>
  </w:style>
  <w:style w:type="character" w:customStyle="1" w:styleId="ListParagraphChar">
    <w:name w:val="List Paragraph Char"/>
    <w:basedOn w:val="DefaultParagraphFont"/>
    <w:link w:val="ListParagraph"/>
    <w:uiPriority w:val="14"/>
    <w:semiHidden/>
    <w:rsid w:val="009C0AA5"/>
    <w:rPr>
      <w:rFonts w:asciiTheme="minorHAnsi" w:hAnsiTheme="minorHAnsi"/>
      <w:sz w:val="24"/>
      <w:lang w:val="en-AU"/>
    </w:rPr>
  </w:style>
  <w:style w:type="paragraph" w:styleId="ListParagraph">
    <w:name w:val="List Paragraph"/>
    <w:basedOn w:val="Normal"/>
    <w:link w:val="ListParagraphChar"/>
    <w:uiPriority w:val="14"/>
    <w:semiHidden/>
    <w:qFormat/>
    <w:rsid w:val="00611279"/>
    <w:pPr>
      <w:ind w:left="720"/>
      <w:contextualSpacing/>
    </w:pPr>
  </w:style>
  <w:style w:type="paragraph" w:customStyle="1" w:styleId="TransFooter">
    <w:name w:val="TransFooter"/>
    <w:uiPriority w:val="99"/>
    <w:semiHidden/>
    <w:qFormat/>
    <w:locked/>
    <w:rsid w:val="00611279"/>
    <w:pPr>
      <w:spacing w:after="0"/>
    </w:pPr>
    <w:rPr>
      <w:sz w:val="14"/>
      <w:lang w:val="en-AU"/>
    </w:rPr>
  </w:style>
  <w:style w:type="paragraph" w:customStyle="1" w:styleId="TransFooterHeadline">
    <w:name w:val="TransFooter Headline"/>
    <w:next w:val="TransFooter"/>
    <w:uiPriority w:val="52"/>
    <w:semiHidden/>
    <w:qFormat/>
    <w:locked/>
    <w:rsid w:val="00611279"/>
    <w:pPr>
      <w:spacing w:before="20" w:after="0"/>
    </w:pPr>
    <w:rPr>
      <w:b/>
      <w:sz w:val="16"/>
      <w:szCs w:val="16"/>
      <w:lang w:val="en-AU"/>
    </w:rPr>
  </w:style>
  <w:style w:type="paragraph" w:customStyle="1" w:styleId="FooterPageNumber">
    <w:name w:val="Footer Page Number"/>
    <w:uiPriority w:val="51"/>
    <w:semiHidden/>
    <w:locked/>
    <w:rsid w:val="00611279"/>
    <w:pPr>
      <w:spacing w:before="480" w:after="0"/>
      <w:jc w:val="right"/>
    </w:pPr>
    <w:rPr>
      <w:rFonts w:eastAsia="Times New Roman" w:cs="Arial"/>
      <w:bCs/>
      <w:iCs/>
      <w:lang w:val="en-AU"/>
    </w:rPr>
  </w:style>
  <w:style w:type="paragraph" w:customStyle="1" w:styleId="TableFields">
    <w:name w:val="Table Fields"/>
    <w:uiPriority w:val="43"/>
    <w:semiHidden/>
    <w:locked/>
    <w:rsid w:val="00611279"/>
    <w:rPr>
      <w:rFonts w:ascii="Times New Roman" w:hAnsi="Times New Roman"/>
      <w:lang w:val="en-AU"/>
    </w:rPr>
  </w:style>
  <w:style w:type="paragraph" w:customStyle="1" w:styleId="TitleL1">
    <w:name w:val="Title L1"/>
    <w:next w:val="Normal"/>
    <w:link w:val="TitleL1Char"/>
    <w:uiPriority w:val="19"/>
    <w:semiHidden/>
    <w:qFormat/>
    <w:rsid w:val="001266F6"/>
    <w:rPr>
      <w:rFonts w:eastAsiaTheme="majorEastAsia" w:cstheme="majorBidi"/>
      <w:b/>
      <w:bCs/>
      <w:sz w:val="48"/>
      <w:szCs w:val="28"/>
      <w:lang w:val="en-AU"/>
    </w:rPr>
  </w:style>
  <w:style w:type="character" w:customStyle="1" w:styleId="TitleL1Char">
    <w:name w:val="Title L1 Char"/>
    <w:basedOn w:val="DefaultParagraphFont"/>
    <w:link w:val="TitleL1"/>
    <w:uiPriority w:val="19"/>
    <w:semiHidden/>
    <w:rsid w:val="00960B8C"/>
    <w:rPr>
      <w:rFonts w:eastAsiaTheme="majorEastAsia" w:cstheme="majorBidi"/>
      <w:b/>
      <w:bCs/>
      <w:sz w:val="48"/>
      <w:szCs w:val="28"/>
      <w:lang w:val="en-AU"/>
    </w:rPr>
  </w:style>
  <w:style w:type="paragraph" w:customStyle="1" w:styleId="TitleL2">
    <w:name w:val="Title L2"/>
    <w:next w:val="Normal"/>
    <w:link w:val="TitleL2Char"/>
    <w:uiPriority w:val="19"/>
    <w:semiHidden/>
    <w:qFormat/>
    <w:rsid w:val="00083B3D"/>
    <w:rPr>
      <w:b/>
      <w:sz w:val="36"/>
      <w:lang w:val="en-AU"/>
    </w:rPr>
  </w:style>
  <w:style w:type="character" w:customStyle="1" w:styleId="TitleL2Char">
    <w:name w:val="Title L2 Char"/>
    <w:basedOn w:val="DefaultParagraphFont"/>
    <w:link w:val="TitleL2"/>
    <w:uiPriority w:val="19"/>
    <w:semiHidden/>
    <w:rsid w:val="00960B8C"/>
    <w:rPr>
      <w:b/>
      <w:sz w:val="36"/>
      <w:lang w:val="en-AU"/>
    </w:rPr>
  </w:style>
  <w:style w:type="paragraph" w:customStyle="1" w:styleId="ListBulletL2">
    <w:name w:val="List Bullet L2"/>
    <w:basedOn w:val="ListBulletL1"/>
    <w:link w:val="ListBulletL2Char"/>
    <w:uiPriority w:val="12"/>
    <w:qFormat/>
    <w:rsid w:val="00D906C0"/>
    <w:pPr>
      <w:numPr>
        <w:ilvl w:val="1"/>
        <w:numId w:val="3"/>
      </w:numPr>
    </w:pPr>
  </w:style>
  <w:style w:type="character" w:customStyle="1" w:styleId="ListBulletL2Char">
    <w:name w:val="List Bullet L2 Char"/>
    <w:basedOn w:val="DefaultParagraphFont"/>
    <w:link w:val="ListBulletL2"/>
    <w:uiPriority w:val="12"/>
    <w:rsid w:val="00D906C0"/>
    <w:rPr>
      <w:color w:val="5F5F5F"/>
      <w:sz w:val="22"/>
      <w:lang w:val="en-AU"/>
    </w:rPr>
  </w:style>
  <w:style w:type="paragraph" w:customStyle="1" w:styleId="ListBulletL3">
    <w:name w:val="List Bullet L3"/>
    <w:basedOn w:val="ListBulletL1"/>
    <w:link w:val="ListBulletL3Char"/>
    <w:uiPriority w:val="12"/>
    <w:semiHidden/>
    <w:qFormat/>
    <w:rsid w:val="00C52A72"/>
    <w:pPr>
      <w:numPr>
        <w:ilvl w:val="2"/>
        <w:numId w:val="2"/>
      </w:numPr>
    </w:pPr>
  </w:style>
  <w:style w:type="character" w:customStyle="1" w:styleId="ListBulletL3Char">
    <w:name w:val="List Bullet L3 Char"/>
    <w:basedOn w:val="DefaultParagraphFont"/>
    <w:link w:val="ListBulletL3"/>
    <w:uiPriority w:val="12"/>
    <w:semiHidden/>
    <w:rsid w:val="00960B8C"/>
    <w:rPr>
      <w:color w:val="5F5F5F"/>
      <w:sz w:val="22"/>
      <w:lang w:val="en-AU"/>
    </w:rPr>
  </w:style>
  <w:style w:type="character" w:customStyle="1" w:styleId="ListNumberL1Char">
    <w:name w:val="List Number L1 Char"/>
    <w:basedOn w:val="DefaultParagraphFont"/>
    <w:semiHidden/>
    <w:rsid w:val="0054064D"/>
    <w:rPr>
      <w:rFonts w:ascii="Times New Roman" w:hAnsi="Times New Roman"/>
      <w:sz w:val="24"/>
      <w:lang w:val="en-AU"/>
    </w:rPr>
  </w:style>
  <w:style w:type="paragraph" w:customStyle="1" w:styleId="HeadingTOC">
    <w:name w:val="Heading TOC"/>
    <w:basedOn w:val="Heading1nonumber"/>
    <w:next w:val="Normal"/>
    <w:link w:val="HeadingTOCChar"/>
    <w:uiPriority w:val="2"/>
    <w:qFormat/>
    <w:rsid w:val="00C40CC8"/>
    <w:rPr>
      <w:bCs w:val="0"/>
      <w:szCs w:val="28"/>
    </w:rPr>
  </w:style>
  <w:style w:type="character" w:customStyle="1" w:styleId="HeadingTOCChar">
    <w:name w:val="Heading TOC Char"/>
    <w:basedOn w:val="DefaultParagraphFont"/>
    <w:link w:val="HeadingTOC"/>
    <w:uiPriority w:val="2"/>
    <w:rsid w:val="00C40CC8"/>
    <w:rPr>
      <w:rFonts w:ascii="Tw Cen MT" w:eastAsiaTheme="majorEastAsia" w:hAnsi="Tw Cen MT" w:cstheme="majorBidi"/>
      <w:b/>
      <w:bCs/>
      <w:color w:val="3E3F40"/>
      <w:sz w:val="44"/>
      <w:szCs w:val="28"/>
      <w:lang w:val="en-AU"/>
    </w:rPr>
  </w:style>
  <w:style w:type="paragraph" w:styleId="TOC5">
    <w:name w:val="toc 5"/>
    <w:basedOn w:val="Normal"/>
    <w:uiPriority w:val="11"/>
    <w:semiHidden/>
    <w:rsid w:val="004B64BC"/>
    <w:pPr>
      <w:spacing w:before="0" w:after="100"/>
      <w:ind w:left="960"/>
    </w:pPr>
    <w:rPr>
      <w:rFonts w:eastAsia="Times New Roman" w:cs="Times New Roman"/>
    </w:rPr>
  </w:style>
  <w:style w:type="paragraph" w:styleId="TOC6">
    <w:name w:val="toc 6"/>
    <w:basedOn w:val="Normal"/>
    <w:uiPriority w:val="11"/>
    <w:semiHidden/>
    <w:rsid w:val="004B64BC"/>
    <w:pPr>
      <w:spacing w:before="0" w:after="100"/>
      <w:ind w:left="1200"/>
    </w:pPr>
    <w:rPr>
      <w:rFonts w:eastAsia="Times New Roman" w:cs="Times New Roman"/>
    </w:rPr>
  </w:style>
  <w:style w:type="paragraph" w:styleId="TOC7">
    <w:name w:val="toc 7"/>
    <w:basedOn w:val="Normal"/>
    <w:uiPriority w:val="11"/>
    <w:semiHidden/>
    <w:rsid w:val="004B64BC"/>
    <w:pPr>
      <w:spacing w:before="0" w:after="100"/>
      <w:ind w:left="1440"/>
    </w:pPr>
    <w:rPr>
      <w:rFonts w:eastAsia="Times New Roman" w:cs="Times New Roman"/>
    </w:rPr>
  </w:style>
  <w:style w:type="paragraph" w:styleId="TOC8">
    <w:name w:val="toc 8"/>
    <w:basedOn w:val="Normal"/>
    <w:uiPriority w:val="11"/>
    <w:semiHidden/>
    <w:rsid w:val="004B64BC"/>
    <w:pPr>
      <w:spacing w:before="0" w:after="100"/>
      <w:ind w:left="1680"/>
    </w:pPr>
    <w:rPr>
      <w:rFonts w:eastAsia="Times New Roman" w:cs="Times New Roman"/>
    </w:rPr>
  </w:style>
  <w:style w:type="paragraph" w:styleId="TOC9">
    <w:name w:val="toc 9"/>
    <w:basedOn w:val="Normal"/>
    <w:uiPriority w:val="11"/>
    <w:semiHidden/>
    <w:rsid w:val="004B64BC"/>
    <w:pPr>
      <w:spacing w:before="0" w:after="100"/>
      <w:ind w:left="1920"/>
    </w:pPr>
    <w:rPr>
      <w:rFonts w:eastAsia="Times New Roman" w:cs="Times New Roman"/>
    </w:rPr>
  </w:style>
  <w:style w:type="paragraph" w:customStyle="1" w:styleId="FooterAddressL1">
    <w:name w:val="Footer Address L1"/>
    <w:next w:val="FooterAddressL2"/>
    <w:link w:val="FooterAddressL1Char"/>
    <w:uiPriority w:val="10"/>
    <w:semiHidden/>
    <w:rsid w:val="00DC783D"/>
    <w:pPr>
      <w:spacing w:after="0"/>
    </w:pPr>
    <w:rPr>
      <w:b/>
      <w:sz w:val="16"/>
      <w:szCs w:val="16"/>
      <w:lang w:val="en-AU"/>
    </w:rPr>
  </w:style>
  <w:style w:type="paragraph" w:customStyle="1" w:styleId="FooterAddressL2">
    <w:name w:val="Footer Address L2"/>
    <w:link w:val="FooterAddressL2Char"/>
    <w:uiPriority w:val="10"/>
    <w:semiHidden/>
    <w:qFormat/>
    <w:rsid w:val="00EA3985"/>
    <w:pPr>
      <w:tabs>
        <w:tab w:val="left" w:pos="567"/>
      </w:tabs>
    </w:pPr>
    <w:rPr>
      <w:sz w:val="14"/>
      <w:lang w:val="en-AU"/>
    </w:rPr>
  </w:style>
  <w:style w:type="character" w:customStyle="1" w:styleId="FooterAddressL2Char">
    <w:name w:val="Footer Address L2 Char"/>
    <w:basedOn w:val="DefaultParagraphFont"/>
    <w:link w:val="FooterAddressL2"/>
    <w:uiPriority w:val="10"/>
    <w:semiHidden/>
    <w:rsid w:val="00EA3985"/>
    <w:rPr>
      <w:rFonts w:ascii="Arial" w:hAnsi="Arial"/>
      <w:sz w:val="14"/>
      <w:lang w:val="en-AU"/>
    </w:rPr>
  </w:style>
  <w:style w:type="character" w:customStyle="1" w:styleId="FooterAddressL1Char">
    <w:name w:val="Footer Address L1 Char"/>
    <w:basedOn w:val="DefaultParagraphFont"/>
    <w:link w:val="FooterAddressL1"/>
    <w:uiPriority w:val="10"/>
    <w:semiHidden/>
    <w:rsid w:val="00EA3985"/>
    <w:rPr>
      <w:rFonts w:ascii="Arial" w:hAnsi="Arial"/>
      <w:b/>
      <w:sz w:val="16"/>
      <w:szCs w:val="16"/>
      <w:lang w:val="en-AU"/>
    </w:rPr>
  </w:style>
  <w:style w:type="paragraph" w:customStyle="1" w:styleId="TitleL3">
    <w:name w:val="Title L3"/>
    <w:basedOn w:val="TitleL2"/>
    <w:next w:val="Normal"/>
    <w:link w:val="TitleL3Char"/>
    <w:uiPriority w:val="19"/>
    <w:semiHidden/>
    <w:qFormat/>
    <w:rsid w:val="00083B3D"/>
    <w:rPr>
      <w:sz w:val="28"/>
    </w:rPr>
  </w:style>
  <w:style w:type="character" w:customStyle="1" w:styleId="TitleL3Char">
    <w:name w:val="Title L3 Char"/>
    <w:basedOn w:val="TitleL2Char"/>
    <w:link w:val="TitleL3"/>
    <w:uiPriority w:val="19"/>
    <w:semiHidden/>
    <w:rsid w:val="00960B8C"/>
    <w:rPr>
      <w:b/>
      <w:sz w:val="28"/>
      <w:lang w:val="en-AU"/>
    </w:rPr>
  </w:style>
  <w:style w:type="table" w:customStyle="1" w:styleId="TableCherry">
    <w:name w:val="Table Cherry"/>
    <w:basedOn w:val="TableNormal"/>
    <w:uiPriority w:val="99"/>
    <w:rsid w:val="00024FAC"/>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cPr>
      <w:vAlign w:val="center"/>
    </w:tcPr>
  </w:style>
  <w:style w:type="character" w:customStyle="1" w:styleId="CaptionChar">
    <w:name w:val="Caption Char"/>
    <w:basedOn w:val="DefaultParagraphFont"/>
    <w:link w:val="Caption"/>
    <w:uiPriority w:val="10"/>
    <w:rsid w:val="003C3EDC"/>
    <w:rPr>
      <w:rFonts w:ascii="Tw Cen MT" w:hAnsi="Tw Cen MT"/>
      <w:b/>
      <w:bCs/>
      <w:color w:val="3E3F40"/>
      <w:sz w:val="24"/>
      <w:szCs w:val="18"/>
      <w:lang w:val="en-AU"/>
    </w:rPr>
  </w:style>
  <w:style w:type="paragraph" w:styleId="Caption">
    <w:name w:val="caption"/>
    <w:next w:val="Normal"/>
    <w:link w:val="CaptionChar"/>
    <w:uiPriority w:val="10"/>
    <w:qFormat/>
    <w:rsid w:val="003C3EDC"/>
    <w:pPr>
      <w:keepNext/>
      <w:spacing w:before="240"/>
    </w:pPr>
    <w:rPr>
      <w:rFonts w:ascii="Tw Cen MT" w:hAnsi="Tw Cen MT"/>
      <w:b/>
      <w:bCs/>
      <w:color w:val="3E3F40"/>
      <w:sz w:val="24"/>
      <w:szCs w:val="18"/>
      <w:lang w:val="en-AU"/>
    </w:rPr>
  </w:style>
  <w:style w:type="paragraph" w:styleId="TableofFigures">
    <w:name w:val="table of figures"/>
    <w:basedOn w:val="Normal"/>
    <w:next w:val="Normal"/>
    <w:uiPriority w:val="99"/>
    <w:locked/>
    <w:rsid w:val="00880B79"/>
  </w:style>
  <w:style w:type="paragraph" w:styleId="BodyText">
    <w:name w:val="Body Text"/>
    <w:basedOn w:val="Normal"/>
    <w:link w:val="BodyTextChar"/>
    <w:uiPriority w:val="99"/>
    <w:semiHidden/>
    <w:locked/>
    <w:rsid w:val="000F7B92"/>
    <w:pPr>
      <w:widowControl w:val="0"/>
      <w:spacing w:before="0"/>
    </w:pPr>
    <w:rPr>
      <w:rFonts w:eastAsia="Times New Roman" w:cs="Times New Roman"/>
      <w:color w:val="auto"/>
    </w:rPr>
  </w:style>
  <w:style w:type="character" w:customStyle="1" w:styleId="BodyTextChar">
    <w:name w:val="Body Text Char"/>
    <w:basedOn w:val="DefaultParagraphFont"/>
    <w:link w:val="BodyText"/>
    <w:uiPriority w:val="99"/>
    <w:semiHidden/>
    <w:rsid w:val="00964F4F"/>
    <w:rPr>
      <w:rFonts w:asciiTheme="minorHAnsi" w:eastAsia="Times New Roman" w:hAnsiTheme="minorHAnsi" w:cs="Times New Roman"/>
      <w:color w:val="auto"/>
      <w:sz w:val="24"/>
      <w:lang w:val="en-AU"/>
    </w:rPr>
  </w:style>
  <w:style w:type="paragraph" w:customStyle="1" w:styleId="Caption-Numbered">
    <w:name w:val="Caption - Numbered"/>
    <w:basedOn w:val="Caption"/>
    <w:next w:val="Normal"/>
    <w:link w:val="Caption-NumberedChar"/>
    <w:semiHidden/>
    <w:qFormat/>
    <w:rsid w:val="0065389F"/>
    <w:pPr>
      <w:keepNext w:val="0"/>
    </w:pPr>
  </w:style>
  <w:style w:type="character" w:customStyle="1" w:styleId="Caption-NumberedChar">
    <w:name w:val="Caption - Numbered Char"/>
    <w:basedOn w:val="DefaultParagraphFont"/>
    <w:link w:val="Caption-Numbered"/>
    <w:semiHidden/>
    <w:rsid w:val="009C0AA5"/>
    <w:rPr>
      <w:rFonts w:asciiTheme="minorHAnsi" w:hAnsiTheme="minorHAnsi"/>
      <w:b/>
      <w:bCs/>
      <w:sz w:val="24"/>
      <w:szCs w:val="18"/>
      <w:lang w:val="en-AU"/>
    </w:rPr>
  </w:style>
  <w:style w:type="paragraph" w:customStyle="1" w:styleId="Help-SampleText">
    <w:name w:val="Help - Sample Text"/>
    <w:semiHidden/>
    <w:rsid w:val="00D6648E"/>
    <w:rPr>
      <w:rFonts w:ascii="Times New Roman" w:eastAsia="Times New Roman" w:hAnsi="Times New Roman" w:cs="Times New Roman"/>
      <w:color w:val="800000"/>
      <w:sz w:val="24"/>
      <w:lang w:val="en-AU"/>
    </w:rPr>
  </w:style>
  <w:style w:type="character" w:styleId="FollowedHyperlink">
    <w:name w:val="FollowedHyperlink"/>
    <w:basedOn w:val="DefaultParagraphFont"/>
    <w:uiPriority w:val="99"/>
    <w:semiHidden/>
    <w:locked/>
    <w:rsid w:val="006645EA"/>
    <w:rPr>
      <w:color w:val="800080" w:themeColor="followedHyperlink"/>
      <w:u w:val="single"/>
    </w:rPr>
  </w:style>
  <w:style w:type="paragraph" w:styleId="FootnoteText">
    <w:name w:val="footnote text"/>
    <w:basedOn w:val="Normal"/>
    <w:link w:val="FootnoteTextChar"/>
    <w:semiHidden/>
    <w:locked/>
    <w:rsid w:val="00DC37EC"/>
    <w:pPr>
      <w:spacing w:before="0"/>
    </w:pPr>
    <w:rPr>
      <w:color w:val="auto"/>
    </w:rPr>
  </w:style>
  <w:style w:type="character" w:customStyle="1" w:styleId="FootnoteTextChar">
    <w:name w:val="Footnote Text Char"/>
    <w:basedOn w:val="DefaultParagraphFont"/>
    <w:link w:val="FootnoteText"/>
    <w:semiHidden/>
    <w:rsid w:val="00960B8C"/>
    <w:rPr>
      <w:rFonts w:asciiTheme="minorHAnsi" w:hAnsiTheme="minorHAnsi"/>
      <w:color w:val="auto"/>
      <w:lang w:val="en-AU"/>
    </w:rPr>
  </w:style>
  <w:style w:type="character" w:styleId="FootnoteReference">
    <w:name w:val="footnote reference"/>
    <w:basedOn w:val="DefaultParagraphFont"/>
    <w:semiHidden/>
    <w:locked/>
    <w:rsid w:val="003716EF"/>
    <w:rPr>
      <w:vertAlign w:val="superscript"/>
    </w:rPr>
  </w:style>
  <w:style w:type="paragraph" w:customStyle="1" w:styleId="Bold">
    <w:name w:val="Bold"/>
    <w:basedOn w:val="Normal"/>
    <w:semiHidden/>
    <w:rsid w:val="00194A8F"/>
    <w:pPr>
      <w:spacing w:before="0"/>
    </w:pPr>
    <w:rPr>
      <w:rFonts w:eastAsia="Times New Roman" w:cs="Times New Roman"/>
      <w:b/>
      <w:bCs/>
      <w:color w:val="auto"/>
      <w:szCs w:val="24"/>
    </w:rPr>
  </w:style>
  <w:style w:type="table" w:styleId="LightList">
    <w:name w:val="Light List"/>
    <w:basedOn w:val="TableNormal"/>
    <w:uiPriority w:val="61"/>
    <w:locked/>
    <w:rsid w:val="00194A8F"/>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Normal1">
    <w:name w:val="Normal1"/>
    <w:basedOn w:val="NormalIndent"/>
    <w:link w:val="NormalChar"/>
    <w:semiHidden/>
    <w:rsid w:val="00A97130"/>
    <w:pPr>
      <w:spacing w:after="120"/>
      <w:ind w:left="709"/>
      <w:jc w:val="both"/>
    </w:pPr>
    <w:rPr>
      <w:rFonts w:eastAsia="Times New Roman" w:cs="Times New Roman"/>
      <w:color w:val="auto"/>
    </w:rPr>
  </w:style>
  <w:style w:type="character" w:customStyle="1" w:styleId="NormalChar">
    <w:name w:val="Normal Char"/>
    <w:link w:val="Normal1"/>
    <w:semiHidden/>
    <w:rsid w:val="004665CB"/>
    <w:rPr>
      <w:rFonts w:eastAsia="Times New Roman" w:cs="Times New Roman"/>
      <w:color w:val="auto"/>
      <w:sz w:val="22"/>
    </w:rPr>
  </w:style>
  <w:style w:type="paragraph" w:customStyle="1" w:styleId="TableSmHeadingRight">
    <w:name w:val="Table_Sm_Heading_Right"/>
    <w:basedOn w:val="Normal"/>
    <w:semiHidden/>
    <w:rsid w:val="00A97130"/>
    <w:pPr>
      <w:keepNext/>
      <w:keepLines/>
      <w:spacing w:after="40"/>
      <w:jc w:val="right"/>
    </w:pPr>
    <w:rPr>
      <w:rFonts w:ascii="Calibri" w:eastAsia="Times New Roman" w:hAnsi="Calibri" w:cs="Times New Roman"/>
      <w:b/>
      <w:color w:val="auto"/>
      <w:sz w:val="16"/>
    </w:rPr>
  </w:style>
  <w:style w:type="paragraph" w:styleId="NormalIndent">
    <w:name w:val="Normal Indent"/>
    <w:basedOn w:val="Normal"/>
    <w:uiPriority w:val="99"/>
    <w:semiHidden/>
    <w:locked/>
    <w:rsid w:val="00A97130"/>
    <w:pPr>
      <w:ind w:left="720"/>
    </w:pPr>
  </w:style>
  <w:style w:type="character" w:styleId="PlaceholderText">
    <w:name w:val="Placeholder Text"/>
    <w:basedOn w:val="DefaultParagraphFont"/>
    <w:uiPriority w:val="99"/>
    <w:semiHidden/>
    <w:locked/>
    <w:rsid w:val="00CA0BF5"/>
    <w:rPr>
      <w:color w:val="808080"/>
    </w:rPr>
  </w:style>
  <w:style w:type="paragraph" w:customStyle="1" w:styleId="bullet1">
    <w:name w:val="bullet 1"/>
    <w:basedOn w:val="ListParagraph"/>
    <w:semiHidden/>
    <w:rsid w:val="004665CB"/>
    <w:pPr>
      <w:numPr>
        <w:numId w:val="7"/>
      </w:numPr>
    </w:pPr>
  </w:style>
  <w:style w:type="paragraph" w:styleId="CommentText">
    <w:name w:val="annotation text"/>
    <w:basedOn w:val="Normal"/>
    <w:link w:val="CommentTextChar"/>
    <w:semiHidden/>
    <w:locked/>
    <w:rsid w:val="00BE2B63"/>
    <w:pPr>
      <w:spacing w:before="0"/>
      <w:jc w:val="both"/>
    </w:pPr>
    <w:rPr>
      <w:rFonts w:ascii="Calibri" w:eastAsia="Times New Roman" w:hAnsi="Calibri" w:cs="Times New Roman"/>
      <w:color w:val="auto"/>
    </w:rPr>
  </w:style>
  <w:style w:type="character" w:customStyle="1" w:styleId="CommentTextChar">
    <w:name w:val="Comment Text Char"/>
    <w:basedOn w:val="DefaultParagraphFont"/>
    <w:link w:val="CommentText"/>
    <w:semiHidden/>
    <w:rsid w:val="00960B8C"/>
    <w:rPr>
      <w:rFonts w:ascii="Calibri" w:eastAsia="Times New Roman" w:hAnsi="Calibri" w:cs="Times New Roman"/>
      <w:color w:val="auto"/>
      <w:lang w:val="en-AU"/>
    </w:rPr>
  </w:style>
  <w:style w:type="paragraph" w:customStyle="1" w:styleId="DotPoint">
    <w:name w:val="Dot Point"/>
    <w:basedOn w:val="Normal"/>
    <w:semiHidden/>
    <w:rsid w:val="00BE2B63"/>
    <w:pPr>
      <w:numPr>
        <w:numId w:val="4"/>
      </w:numPr>
      <w:spacing w:before="0"/>
    </w:pPr>
    <w:rPr>
      <w:rFonts w:eastAsia="Times New Roman" w:cs="Times New Roman"/>
      <w:color w:val="auto"/>
      <w:szCs w:val="24"/>
    </w:rPr>
  </w:style>
  <w:style w:type="table" w:styleId="LightGrid">
    <w:name w:val="Light Grid"/>
    <w:basedOn w:val="TableNormal"/>
    <w:uiPriority w:val="62"/>
    <w:locked/>
    <w:rsid w:val="00BE2B63"/>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locked/>
    <w:rsid w:val="00564831"/>
    <w:rPr>
      <w:sz w:val="16"/>
      <w:szCs w:val="16"/>
    </w:rPr>
  </w:style>
  <w:style w:type="paragraph" w:styleId="CommentSubject">
    <w:name w:val="annotation subject"/>
    <w:basedOn w:val="CommentText"/>
    <w:next w:val="CommentText"/>
    <w:link w:val="CommentSubjectChar"/>
    <w:uiPriority w:val="99"/>
    <w:semiHidden/>
    <w:locked/>
    <w:rsid w:val="00564831"/>
    <w:pPr>
      <w:spacing w:before="120"/>
      <w:jc w:val="left"/>
    </w:pPr>
    <w:rPr>
      <w:rFonts w:ascii="Times New Roman" w:eastAsiaTheme="minorHAnsi" w:hAnsi="Times New Roman" w:cstheme="minorBidi"/>
      <w:b/>
      <w:bCs/>
      <w:color w:val="000000" w:themeColor="text1"/>
    </w:rPr>
  </w:style>
  <w:style w:type="character" w:customStyle="1" w:styleId="CommentSubjectChar">
    <w:name w:val="Comment Subject Char"/>
    <w:basedOn w:val="CommentTextChar"/>
    <w:link w:val="CommentSubject"/>
    <w:uiPriority w:val="99"/>
    <w:semiHidden/>
    <w:rsid w:val="00564831"/>
    <w:rPr>
      <w:rFonts w:ascii="Times New Roman" w:eastAsia="Times New Roman" w:hAnsi="Times New Roman" w:cs="Times New Roman"/>
      <w:b/>
      <w:bCs/>
      <w:color w:val="auto"/>
      <w:lang w:val="en-AU"/>
    </w:rPr>
  </w:style>
  <w:style w:type="table" w:customStyle="1" w:styleId="ListTable4-Accent51">
    <w:name w:val="List Table 4 - Accent 51"/>
    <w:basedOn w:val="TableNormal"/>
    <w:uiPriority w:val="49"/>
    <w:rsid w:val="005410AD"/>
    <w:pPr>
      <w:spacing w:after="0"/>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Level1">
    <w:name w:val="Level 1"/>
    <w:basedOn w:val="TOC1"/>
    <w:semiHidden/>
    <w:qFormat/>
    <w:rsid w:val="00075224"/>
    <w:pPr>
      <w:tabs>
        <w:tab w:val="clear" w:pos="567"/>
        <w:tab w:val="clear" w:pos="9639"/>
        <w:tab w:val="right" w:pos="8630"/>
      </w:tabs>
      <w:spacing w:before="360" w:after="360"/>
      <w:ind w:left="0" w:right="0" w:firstLine="0"/>
    </w:pPr>
    <w:rPr>
      <w:rFonts w:asciiTheme="majorHAnsi" w:hAnsiTheme="majorHAnsi"/>
      <w:bCs/>
      <w:caps/>
      <w:color w:val="auto"/>
      <w:szCs w:val="22"/>
      <w:u w:val="single"/>
    </w:rPr>
  </w:style>
  <w:style w:type="paragraph" w:customStyle="1" w:styleId="Level2">
    <w:name w:val="Level 2"/>
    <w:basedOn w:val="TOC2"/>
    <w:semiHidden/>
    <w:qFormat/>
    <w:rsid w:val="00075224"/>
    <w:pPr>
      <w:tabs>
        <w:tab w:val="clear" w:pos="1418"/>
        <w:tab w:val="clear" w:pos="9639"/>
        <w:tab w:val="right" w:pos="8630"/>
      </w:tabs>
      <w:spacing w:after="0"/>
      <w:ind w:left="0" w:right="0" w:firstLine="0"/>
    </w:pPr>
    <w:rPr>
      <w:rFonts w:asciiTheme="majorHAnsi" w:hAnsiTheme="majorHAnsi"/>
      <w:b/>
      <w:bCs/>
      <w:smallCaps/>
      <w:noProof w:val="0"/>
      <w:color w:val="auto"/>
      <w:szCs w:val="22"/>
    </w:rPr>
  </w:style>
  <w:style w:type="paragraph" w:customStyle="1" w:styleId="Level3">
    <w:name w:val="Level 3"/>
    <w:basedOn w:val="TOC3"/>
    <w:semiHidden/>
    <w:qFormat/>
    <w:rsid w:val="00075224"/>
    <w:pPr>
      <w:tabs>
        <w:tab w:val="clear" w:pos="1418"/>
        <w:tab w:val="clear" w:pos="9639"/>
        <w:tab w:val="right" w:pos="8630"/>
      </w:tabs>
      <w:spacing w:after="0"/>
      <w:ind w:left="0" w:right="0" w:firstLine="0"/>
    </w:pPr>
    <w:rPr>
      <w:rFonts w:asciiTheme="majorHAnsi" w:eastAsia="Times New Roman" w:hAnsiTheme="majorHAnsi"/>
      <w:smallCaps/>
      <w:noProof w:val="0"/>
      <w:color w:val="auto"/>
      <w:szCs w:val="22"/>
      <w:lang w:eastAsia="en-US"/>
    </w:rPr>
  </w:style>
  <w:style w:type="paragraph" w:styleId="NoSpacing">
    <w:name w:val="No Spacing"/>
    <w:link w:val="NoSpacingChar"/>
    <w:uiPriority w:val="1"/>
    <w:locked/>
    <w:rsid w:val="00CA07FE"/>
    <w:pPr>
      <w:spacing w:before="0" w:after="0"/>
    </w:pPr>
    <w:rPr>
      <w:rFonts w:ascii="Tw Cen MT" w:eastAsiaTheme="minorEastAsia" w:hAnsi="Tw Cen MT"/>
      <w:color w:val="5F5F5F"/>
      <w:sz w:val="22"/>
      <w:szCs w:val="22"/>
    </w:rPr>
  </w:style>
  <w:style w:type="character" w:customStyle="1" w:styleId="NoSpacingChar">
    <w:name w:val="No Spacing Char"/>
    <w:basedOn w:val="DefaultParagraphFont"/>
    <w:link w:val="NoSpacing"/>
    <w:uiPriority w:val="1"/>
    <w:rsid w:val="00CA07FE"/>
    <w:rPr>
      <w:rFonts w:ascii="Tw Cen MT" w:eastAsiaTheme="minorEastAsia" w:hAnsi="Tw Cen MT"/>
      <w:color w:val="5F5F5F"/>
      <w:sz w:val="22"/>
      <w:szCs w:val="22"/>
    </w:rPr>
  </w:style>
  <w:style w:type="paragraph" w:styleId="TOCHeading">
    <w:name w:val="TOC Heading"/>
    <w:basedOn w:val="Heading1"/>
    <w:next w:val="Normal"/>
    <w:uiPriority w:val="39"/>
    <w:unhideWhenUsed/>
    <w:qFormat/>
    <w:rsid w:val="00C40CC8"/>
    <w:pPr>
      <w:numPr>
        <w:numId w:val="0"/>
      </w:numPr>
      <w:spacing w:before="240" w:after="0" w:line="259" w:lineRule="auto"/>
      <w:outlineLvl w:val="9"/>
    </w:pPr>
    <w:rPr>
      <w:b/>
      <w:bCs w:val="0"/>
      <w:color w:val="5F5F5F"/>
      <w:sz w:val="32"/>
      <w:szCs w:val="32"/>
      <w:lang w:val="en-US"/>
    </w:rPr>
  </w:style>
  <w:style w:type="paragraph" w:styleId="NormalWeb">
    <w:name w:val="Normal (Web)"/>
    <w:basedOn w:val="Normal"/>
    <w:uiPriority w:val="99"/>
    <w:semiHidden/>
    <w:unhideWhenUsed/>
    <w:locked/>
    <w:rsid w:val="00811EFC"/>
    <w:pPr>
      <w:spacing w:before="100" w:beforeAutospacing="1" w:after="100" w:afterAutospacing="1"/>
    </w:pPr>
    <w:rPr>
      <w:rFonts w:eastAsia="Times New Roman" w:cs="Times New Roman"/>
      <w:color w:val="auto"/>
      <w:szCs w:val="24"/>
      <w:lang w:eastAsia="en-AU"/>
    </w:rPr>
  </w:style>
  <w:style w:type="paragraph" w:styleId="Revision">
    <w:name w:val="Revision"/>
    <w:hidden/>
    <w:uiPriority w:val="99"/>
    <w:semiHidden/>
    <w:rsid w:val="00516581"/>
    <w:pPr>
      <w:spacing w:before="0" w:after="0"/>
    </w:pPr>
    <w:rPr>
      <w:rFonts w:ascii="Times New Roman" w:hAnsi="Times New Roman"/>
      <w:sz w:val="24"/>
      <w:lang w:val="en-AU"/>
    </w:rPr>
  </w:style>
  <w:style w:type="paragraph" w:customStyle="1" w:styleId="Default">
    <w:name w:val="Default"/>
    <w:semiHidden/>
    <w:rsid w:val="0002176E"/>
    <w:pPr>
      <w:autoSpaceDE w:val="0"/>
      <w:autoSpaceDN w:val="0"/>
      <w:adjustRightInd w:val="0"/>
      <w:spacing w:before="0" w:after="0"/>
    </w:pPr>
    <w:rPr>
      <w:rFonts w:ascii="Calibri" w:hAnsi="Calibri" w:cs="Calibri"/>
      <w:color w:val="000000"/>
      <w:sz w:val="24"/>
      <w:szCs w:val="24"/>
      <w:lang w:val="en-AU"/>
    </w:rPr>
  </w:style>
  <w:style w:type="paragraph" w:styleId="Title">
    <w:name w:val="Title"/>
    <w:basedOn w:val="Normal"/>
    <w:next w:val="Normal"/>
    <w:link w:val="TitleChar"/>
    <w:uiPriority w:val="10"/>
    <w:locked/>
    <w:rsid w:val="00EB334B"/>
    <w:rPr>
      <w:rFonts w:eastAsiaTheme="majorEastAsia" w:cstheme="minorHAnsi"/>
      <w:bCs/>
      <w:sz w:val="72"/>
      <w:szCs w:val="72"/>
    </w:rPr>
  </w:style>
  <w:style w:type="character" w:customStyle="1" w:styleId="TitleChar">
    <w:name w:val="Title Char"/>
    <w:basedOn w:val="DefaultParagraphFont"/>
    <w:link w:val="Title"/>
    <w:uiPriority w:val="10"/>
    <w:rsid w:val="00EB334B"/>
    <w:rPr>
      <w:rFonts w:ascii="Tw Cen MT" w:eastAsiaTheme="majorEastAsia" w:hAnsi="Tw Cen MT" w:cstheme="minorHAnsi"/>
      <w:bCs/>
      <w:color w:val="5F5F5F"/>
      <w:sz w:val="72"/>
      <w:szCs w:val="72"/>
      <w:lang w:val="en-AU"/>
    </w:rPr>
  </w:style>
  <w:style w:type="paragraph" w:customStyle="1" w:styleId="Body">
    <w:name w:val="Body"/>
    <w:basedOn w:val="Normal"/>
    <w:qFormat/>
    <w:rsid w:val="00305E65"/>
    <w:pPr>
      <w:spacing w:before="0" w:after="0"/>
    </w:pPr>
  </w:style>
  <w:style w:type="paragraph" w:customStyle="1" w:styleId="Figure-numbered">
    <w:name w:val="Figure - numbered"/>
    <w:basedOn w:val="Caption"/>
    <w:semiHidden/>
    <w:qFormat/>
    <w:rsid w:val="009353C2"/>
    <w:pPr>
      <w:numPr>
        <w:numId w:val="6"/>
      </w:numPr>
    </w:pPr>
  </w:style>
  <w:style w:type="character" w:styleId="IntenseEmphasis">
    <w:name w:val="Intense Emphasis"/>
    <w:basedOn w:val="DefaultParagraphFont"/>
    <w:uiPriority w:val="14"/>
    <w:semiHidden/>
    <w:qFormat/>
    <w:locked/>
    <w:rsid w:val="00964F4F"/>
    <w:rPr>
      <w:i/>
      <w:iCs/>
      <w:color w:val="4F81BD" w:themeColor="accent1"/>
    </w:rPr>
  </w:style>
  <w:style w:type="character" w:customStyle="1" w:styleId="UnresolvedMention">
    <w:name w:val="Unresolved Mention"/>
    <w:basedOn w:val="DefaultParagraphFont"/>
    <w:uiPriority w:val="99"/>
    <w:rsid w:val="00F9127C"/>
    <w:rPr>
      <w:color w:val="605E5C"/>
      <w:shd w:val="clear" w:color="auto" w:fill="E1DFDD"/>
    </w:rPr>
  </w:style>
  <w:style w:type="table" w:customStyle="1" w:styleId="ProjectMarinus">
    <w:name w:val="Project Marinus"/>
    <w:basedOn w:val="TableNormal"/>
    <w:uiPriority w:val="99"/>
    <w:rsid w:val="004E7D33"/>
    <w:pPr>
      <w:tabs>
        <w:tab w:val="left" w:pos="0"/>
      </w:tabs>
      <w:spacing w:before="0" w:after="0" w:line="240" w:lineRule="auto"/>
    </w:pPr>
    <w:rPr>
      <w:color w:val="FFFFFF" w:themeColor="background1"/>
    </w:rPr>
    <w:tblPr>
      <w:tblStyleRowBandSize w:val="1"/>
      <w:tblCellMar>
        <w:top w:w="113" w:type="dxa"/>
        <w:bottom w:w="113" w:type="dxa"/>
      </w:tblCellMar>
    </w:tblPr>
    <w:tcPr>
      <w:shd w:val="clear" w:color="auto" w:fill="FFFFFF" w:themeFill="background1"/>
    </w:tcPr>
    <w:tblStylePr w:type="firstRow">
      <w:rPr>
        <w:rFonts w:ascii="Arial" w:hAnsi="Arial"/>
        <w:b/>
        <w:color w:val="FFFFFF" w:themeColor="background1"/>
        <w:sz w:val="20"/>
      </w:rPr>
      <w:tblPr/>
      <w:tcPr>
        <w:shd w:val="clear" w:color="auto" w:fill="13324A"/>
      </w:tcPr>
    </w:tblStylePr>
    <w:tblStylePr w:type="band1Horz">
      <w:rPr>
        <w:rFonts w:ascii="Arial" w:hAnsi="Arial"/>
        <w:color w:val="5F5F5F"/>
        <w:sz w:val="22"/>
      </w:rPr>
      <w:tblPr/>
      <w:tcPr>
        <w:shd w:val="clear" w:color="auto" w:fill="D4E6F4"/>
      </w:tcPr>
    </w:tblStylePr>
    <w:tblStylePr w:type="band2Horz">
      <w:rPr>
        <w:rFonts w:ascii="Arial" w:hAnsi="Arial"/>
        <w:color w:val="5F5F5F"/>
        <w:sz w:val="22"/>
      </w:rPr>
    </w:tblStylePr>
  </w:style>
  <w:style w:type="paragraph" w:customStyle="1" w:styleId="CoverpageDocumentHeading">
    <w:name w:val="Coverpage Document Heading"/>
    <w:link w:val="CoverpageDocumentHeadingChar"/>
    <w:qFormat/>
    <w:rsid w:val="00616048"/>
    <w:pPr>
      <w:spacing w:before="420" w:after="420" w:line="920" w:lineRule="exact"/>
      <w:jc w:val="right"/>
    </w:pPr>
    <w:rPr>
      <w:rFonts w:ascii="Tw Cen MT" w:hAnsi="Tw Cen MT"/>
      <w:color w:val="FFFFFF" w:themeColor="background1"/>
      <w:sz w:val="96"/>
      <w:szCs w:val="80"/>
      <w:lang w:val="en-AU"/>
    </w:rPr>
  </w:style>
  <w:style w:type="paragraph" w:customStyle="1" w:styleId="Coverpagesubheading">
    <w:name w:val="Coverpage subheading"/>
    <w:link w:val="CoverpagesubheadingChar"/>
    <w:qFormat/>
    <w:rsid w:val="00616048"/>
    <w:pPr>
      <w:spacing w:before="240" w:after="300" w:line="240" w:lineRule="auto"/>
      <w:jc w:val="right"/>
    </w:pPr>
    <w:rPr>
      <w:rFonts w:ascii="Tw Cen MT" w:hAnsi="Tw Cen MT"/>
      <w:color w:val="FFFFFF" w:themeColor="background1"/>
      <w:sz w:val="60"/>
      <w:szCs w:val="60"/>
      <w:lang w:val="en-AU"/>
    </w:rPr>
  </w:style>
  <w:style w:type="character" w:customStyle="1" w:styleId="CoverpageDocumentHeadingChar">
    <w:name w:val="Coverpage Document Heading Char"/>
    <w:basedOn w:val="DefaultParagraphFont"/>
    <w:link w:val="CoverpageDocumentHeading"/>
    <w:rsid w:val="00616048"/>
    <w:rPr>
      <w:rFonts w:ascii="Tw Cen MT" w:hAnsi="Tw Cen MT"/>
      <w:color w:val="FFFFFF" w:themeColor="background1"/>
      <w:sz w:val="96"/>
      <w:szCs w:val="80"/>
      <w:lang w:val="en-AU"/>
    </w:rPr>
  </w:style>
  <w:style w:type="paragraph" w:customStyle="1" w:styleId="Coverpagedate">
    <w:name w:val="Coverpage date"/>
    <w:link w:val="CoverpagedateChar"/>
    <w:qFormat/>
    <w:rsid w:val="007C38B4"/>
    <w:pPr>
      <w:spacing w:line="360" w:lineRule="exact"/>
      <w:jc w:val="right"/>
    </w:pPr>
    <w:rPr>
      <w:rFonts w:ascii="Century Gothic" w:hAnsi="Century Gothic"/>
      <w:color w:val="FFFFFF" w:themeColor="background1"/>
      <w:sz w:val="36"/>
      <w:szCs w:val="40"/>
      <w:lang w:val="en-AU"/>
    </w:rPr>
  </w:style>
  <w:style w:type="character" w:customStyle="1" w:styleId="CoverpagesubheadingChar">
    <w:name w:val="Coverpage subheading Char"/>
    <w:basedOn w:val="DefaultParagraphFont"/>
    <w:link w:val="Coverpagesubheading"/>
    <w:rsid w:val="00616048"/>
    <w:rPr>
      <w:rFonts w:ascii="Tw Cen MT" w:hAnsi="Tw Cen MT"/>
      <w:color w:val="FFFFFF" w:themeColor="background1"/>
      <w:sz w:val="60"/>
      <w:szCs w:val="60"/>
      <w:lang w:val="en-AU"/>
    </w:rPr>
  </w:style>
  <w:style w:type="paragraph" w:customStyle="1" w:styleId="Logoheaderportrait">
    <w:name w:val="Logo header portrait"/>
    <w:basedOn w:val="Normal"/>
    <w:link w:val="LogoheaderportraitChar"/>
    <w:qFormat/>
    <w:rsid w:val="00E01AAD"/>
    <w:pPr>
      <w:tabs>
        <w:tab w:val="right" w:pos="10065"/>
      </w:tabs>
    </w:pPr>
    <w:rPr>
      <w:noProof/>
      <w:lang w:eastAsia="en-AU"/>
    </w:rPr>
  </w:style>
  <w:style w:type="character" w:customStyle="1" w:styleId="CoverpagedateChar">
    <w:name w:val="Coverpage date Char"/>
    <w:basedOn w:val="DefaultParagraphFont"/>
    <w:link w:val="Coverpagedate"/>
    <w:rsid w:val="007C38B4"/>
    <w:rPr>
      <w:rFonts w:ascii="Century Gothic" w:hAnsi="Century Gothic"/>
      <w:color w:val="FFFFFF" w:themeColor="background1"/>
      <w:sz w:val="36"/>
      <w:szCs w:val="40"/>
      <w:lang w:val="en-AU"/>
    </w:rPr>
  </w:style>
  <w:style w:type="paragraph" w:customStyle="1" w:styleId="Coverpagemain">
    <w:name w:val="Coverpage main"/>
    <w:basedOn w:val="Normal"/>
    <w:link w:val="CoverpagemainChar"/>
    <w:rsid w:val="00F54CC2"/>
    <w:pPr>
      <w:jc w:val="center"/>
    </w:pPr>
  </w:style>
  <w:style w:type="character" w:customStyle="1" w:styleId="LogoheaderportraitChar">
    <w:name w:val="Logo header portrait Char"/>
    <w:basedOn w:val="DefaultParagraphFont"/>
    <w:link w:val="Logoheaderportrait"/>
    <w:rsid w:val="00E01AAD"/>
    <w:rPr>
      <w:rFonts w:ascii="Tw Cen MT" w:hAnsi="Tw Cen MT"/>
      <w:noProof/>
      <w:color w:val="5F5F5F"/>
      <w:sz w:val="24"/>
      <w:lang w:val="en-AU" w:eastAsia="en-AU"/>
    </w:rPr>
  </w:style>
  <w:style w:type="paragraph" w:customStyle="1" w:styleId="Tablebody">
    <w:name w:val="Table body"/>
    <w:basedOn w:val="Normal"/>
    <w:link w:val="TablebodyChar"/>
    <w:qFormat/>
    <w:rsid w:val="00F9133D"/>
    <w:pPr>
      <w:spacing w:before="0" w:after="0"/>
    </w:pPr>
  </w:style>
  <w:style w:type="character" w:customStyle="1" w:styleId="CoverpagemainChar">
    <w:name w:val="Coverpage main Char"/>
    <w:basedOn w:val="DefaultParagraphFont"/>
    <w:link w:val="Coverpagemain"/>
    <w:rsid w:val="00F54CC2"/>
    <w:rPr>
      <w:rFonts w:ascii="Tw Cen MT" w:hAnsi="Tw Cen MT"/>
      <w:color w:val="5F5F5F"/>
      <w:sz w:val="24"/>
      <w:lang w:val="en-AU"/>
    </w:rPr>
  </w:style>
  <w:style w:type="paragraph" w:customStyle="1" w:styleId="Tableheader">
    <w:name w:val="Table header"/>
    <w:basedOn w:val="Default"/>
    <w:link w:val="TableheaderChar"/>
    <w:qFormat/>
    <w:rsid w:val="005512B8"/>
    <w:rPr>
      <w:rFonts w:ascii="Arial" w:hAnsi="Arial"/>
      <w:b/>
      <w:color w:val="FFFFFF" w:themeColor="background1"/>
      <w:sz w:val="20"/>
    </w:rPr>
  </w:style>
  <w:style w:type="character" w:customStyle="1" w:styleId="TablebodyChar">
    <w:name w:val="Table body Char"/>
    <w:basedOn w:val="DefaultParagraphFont"/>
    <w:link w:val="Tablebody"/>
    <w:rsid w:val="00F9133D"/>
    <w:rPr>
      <w:rFonts w:ascii="Tw Cen MT" w:hAnsi="Tw Cen MT"/>
      <w:color w:val="5F5F5F"/>
      <w:sz w:val="22"/>
      <w:lang w:val="en-AU"/>
    </w:rPr>
  </w:style>
  <w:style w:type="character" w:customStyle="1" w:styleId="TableheaderChar">
    <w:name w:val="Table header Char"/>
    <w:basedOn w:val="DefaultParagraphFont"/>
    <w:link w:val="Tableheader"/>
    <w:rsid w:val="005512B8"/>
    <w:rPr>
      <w:rFonts w:cs="Calibri"/>
      <w:b/>
      <w:color w:val="FFFFFF" w:themeColor="background1"/>
      <w:szCs w:val="24"/>
      <w:lang w:val="en-AU"/>
    </w:rPr>
  </w:style>
  <w:style w:type="paragraph" w:customStyle="1" w:styleId="Level4">
    <w:name w:val="Level 4"/>
    <w:basedOn w:val="Heading4"/>
    <w:link w:val="Level4Char"/>
    <w:rsid w:val="00EB334B"/>
    <w:pPr>
      <w:ind w:left="1560" w:hanging="1134"/>
    </w:pPr>
    <w:rPr>
      <w:b/>
    </w:rPr>
  </w:style>
  <w:style w:type="paragraph" w:customStyle="1" w:styleId="Heading4nonumber1">
    <w:name w:val="Heading 4 no number1"/>
    <w:basedOn w:val="Heading3nonumber"/>
    <w:link w:val="Heading4nonumber1Char"/>
    <w:rsid w:val="007D2E9C"/>
  </w:style>
  <w:style w:type="character" w:customStyle="1" w:styleId="Level4Char">
    <w:name w:val="Level 4 Char"/>
    <w:basedOn w:val="Heading4Char"/>
    <w:link w:val="Level4"/>
    <w:rsid w:val="00EB334B"/>
    <w:rPr>
      <w:rFonts w:ascii="Tw Cen MT" w:eastAsiaTheme="majorEastAsia" w:hAnsi="Tw Cen MT" w:cstheme="minorHAnsi"/>
      <w:b/>
      <w:color w:val="808080" w:themeColor="background1" w:themeShade="80"/>
      <w:sz w:val="28"/>
      <w:szCs w:val="26"/>
      <w:lang w:val="en-AU"/>
      <w14:scene3d>
        <w14:camera w14:prst="orthographicFront"/>
        <w14:lightRig w14:rig="threePt" w14:dir="t">
          <w14:rot w14:lat="0" w14:lon="0" w14:rev="0"/>
        </w14:lightRig>
      </w14:scene3d>
    </w:rPr>
  </w:style>
  <w:style w:type="character" w:customStyle="1" w:styleId="Heading4nonumber1Char">
    <w:name w:val="Heading 4 no number1 Char"/>
    <w:basedOn w:val="Heading3nonumberChar"/>
    <w:link w:val="Heading4nonumber1"/>
    <w:rsid w:val="007D2E9C"/>
    <w:rPr>
      <w:rFonts w:ascii="Tw Cen MT" w:eastAsiaTheme="majorEastAsia" w:hAnsi="Tw Cen MT" w:cstheme="majorBidi"/>
      <w:b w:val="0"/>
      <w:bCs w:val="0"/>
      <w:color w:val="3E3F40"/>
      <w:sz w:val="28"/>
      <w:szCs w:val="36"/>
      <w:lang w:val="en-AU"/>
    </w:rPr>
  </w:style>
  <w:style w:type="paragraph" w:customStyle="1" w:styleId="Logoheaderlandscapes">
    <w:name w:val="Logo header landscapes"/>
    <w:basedOn w:val="Logoheaderportrait"/>
    <w:link w:val="LogoheaderlandscapesChar"/>
    <w:qFormat/>
    <w:rsid w:val="0025404B"/>
    <w:pPr>
      <w:tabs>
        <w:tab w:val="clear" w:pos="10065"/>
        <w:tab w:val="right" w:pos="14005"/>
      </w:tabs>
    </w:pPr>
  </w:style>
  <w:style w:type="paragraph" w:customStyle="1" w:styleId="Source">
    <w:name w:val="Source"/>
    <w:basedOn w:val="Normal"/>
    <w:link w:val="SourceChar"/>
    <w:qFormat/>
    <w:rsid w:val="00967605"/>
    <w:rPr>
      <w:rFonts w:ascii="Tw Cen MT" w:hAnsi="Tw Cen MT"/>
      <w:i/>
      <w:sz w:val="24"/>
      <w:szCs w:val="24"/>
    </w:rPr>
  </w:style>
  <w:style w:type="character" w:customStyle="1" w:styleId="LogoheaderlandscapesChar">
    <w:name w:val="Logo header landscapes Char"/>
    <w:basedOn w:val="LogoheaderportraitChar"/>
    <w:link w:val="Logoheaderlandscapes"/>
    <w:rsid w:val="0025404B"/>
    <w:rPr>
      <w:rFonts w:ascii="Tw Cen MT" w:hAnsi="Tw Cen MT"/>
      <w:noProof/>
      <w:color w:val="5F5F5F"/>
      <w:sz w:val="22"/>
      <w:lang w:val="en-AU" w:eastAsia="en-AU"/>
    </w:rPr>
  </w:style>
  <w:style w:type="character" w:customStyle="1" w:styleId="SourceChar">
    <w:name w:val="Source Char"/>
    <w:basedOn w:val="DefaultParagraphFont"/>
    <w:link w:val="Source"/>
    <w:rsid w:val="00967605"/>
    <w:rPr>
      <w:rFonts w:ascii="Tw Cen MT" w:hAnsi="Tw Cen MT"/>
      <w:i/>
      <w:color w:val="5F5F5F"/>
      <w:sz w:val="24"/>
      <w:szCs w:val="24"/>
      <w:lang w:val="en-AU"/>
    </w:rPr>
  </w:style>
  <w:style w:type="table" w:styleId="TableGrid1">
    <w:name w:val="Table Grid 1"/>
    <w:basedOn w:val="TableNormal"/>
    <w:uiPriority w:val="99"/>
    <w:semiHidden/>
    <w:unhideWhenUsed/>
    <w:locked/>
    <w:rsid w:val="00F674D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Otherheadings">
    <w:name w:val="Other headings"/>
    <w:basedOn w:val="Heading1nonumber"/>
    <w:link w:val="OtherheadingsChar"/>
    <w:qFormat/>
    <w:rsid w:val="0074555A"/>
    <w:rPr>
      <w:sz w:val="40"/>
    </w:rPr>
  </w:style>
  <w:style w:type="character" w:customStyle="1" w:styleId="OtherheadingsChar">
    <w:name w:val="Other headings Char"/>
    <w:basedOn w:val="Heading1nonumberChar"/>
    <w:link w:val="Otherheadings"/>
    <w:rsid w:val="0074555A"/>
    <w:rPr>
      <w:rFonts w:ascii="Century Gothic" w:eastAsiaTheme="majorEastAsia" w:hAnsi="Century Gothic" w:cstheme="majorBidi"/>
      <w:bCs/>
      <w:color w:val="13324A"/>
      <w:sz w:val="40"/>
      <w:szCs w:val="36"/>
      <w:lang w:val="en-AU"/>
    </w:rPr>
  </w:style>
  <w:style w:type="paragraph" w:customStyle="1" w:styleId="Footnote">
    <w:name w:val="Footnote"/>
    <w:basedOn w:val="FootnoteText"/>
    <w:link w:val="FootnoteChar"/>
    <w:qFormat/>
    <w:rsid w:val="00D906C0"/>
    <w:pPr>
      <w:spacing w:after="0"/>
    </w:pPr>
  </w:style>
  <w:style w:type="character" w:customStyle="1" w:styleId="FootnoteChar">
    <w:name w:val="Footnote Char"/>
    <w:basedOn w:val="FootnoteTextChar"/>
    <w:link w:val="Footnote"/>
    <w:rsid w:val="00D906C0"/>
    <w:rPr>
      <w:rFonts w:asciiTheme="minorHAnsi" w:hAnsiTheme="minorHAnsi"/>
      <w:color w:val="auto"/>
      <w:lang w:val="en-AU"/>
    </w:rPr>
  </w:style>
  <w:style w:type="paragraph" w:styleId="TOAHeading">
    <w:name w:val="toa heading"/>
    <w:basedOn w:val="Normal"/>
    <w:next w:val="Normal"/>
    <w:uiPriority w:val="99"/>
    <w:semiHidden/>
    <w:unhideWhenUsed/>
    <w:locked/>
    <w:rsid w:val="003C3EDC"/>
    <w:pPr>
      <w:spacing w:before="120"/>
    </w:pPr>
    <w:rPr>
      <w:rFonts w:asciiTheme="majorHAnsi" w:eastAsiaTheme="majorEastAsia" w:hAnsiTheme="majorHAnsi" w:cstheme="majorBidi"/>
      <w:b/>
      <w:bCs/>
      <w:sz w:val="24"/>
      <w:szCs w:val="24"/>
    </w:rPr>
  </w:style>
  <w:style w:type="paragraph" w:styleId="ListBullet">
    <w:name w:val="List Bullet"/>
    <w:semiHidden/>
    <w:locked/>
    <w:rsid w:val="00B123BF"/>
    <w:pPr>
      <w:pBdr>
        <w:top w:val="nil"/>
        <w:left w:val="nil"/>
        <w:bottom w:val="nil"/>
        <w:right w:val="nil"/>
        <w:between w:val="nil"/>
        <w:bar w:val="nil"/>
      </w:pBdr>
      <w:spacing w:before="0" w:after="120" w:line="360" w:lineRule="auto"/>
      <w:jc w:val="both"/>
    </w:pPr>
    <w:rPr>
      <w:rFonts w:eastAsia="Arial Unicode MS" w:cs="Arial Unicode MS"/>
      <w:color w:val="5F5F5F"/>
      <w:u w:color="5F5F5F"/>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8031">
      <w:bodyDiv w:val="1"/>
      <w:marLeft w:val="0"/>
      <w:marRight w:val="0"/>
      <w:marTop w:val="0"/>
      <w:marBottom w:val="0"/>
      <w:divBdr>
        <w:top w:val="none" w:sz="0" w:space="0" w:color="auto"/>
        <w:left w:val="none" w:sz="0" w:space="0" w:color="auto"/>
        <w:bottom w:val="none" w:sz="0" w:space="0" w:color="auto"/>
        <w:right w:val="none" w:sz="0" w:space="0" w:color="auto"/>
      </w:divBdr>
    </w:div>
    <w:div w:id="65498784">
      <w:bodyDiv w:val="1"/>
      <w:marLeft w:val="0"/>
      <w:marRight w:val="0"/>
      <w:marTop w:val="0"/>
      <w:marBottom w:val="0"/>
      <w:divBdr>
        <w:top w:val="none" w:sz="0" w:space="0" w:color="auto"/>
        <w:left w:val="none" w:sz="0" w:space="0" w:color="auto"/>
        <w:bottom w:val="none" w:sz="0" w:space="0" w:color="auto"/>
        <w:right w:val="none" w:sz="0" w:space="0" w:color="auto"/>
      </w:divBdr>
    </w:div>
    <w:div w:id="180243581">
      <w:bodyDiv w:val="1"/>
      <w:marLeft w:val="0"/>
      <w:marRight w:val="0"/>
      <w:marTop w:val="0"/>
      <w:marBottom w:val="0"/>
      <w:divBdr>
        <w:top w:val="none" w:sz="0" w:space="0" w:color="auto"/>
        <w:left w:val="none" w:sz="0" w:space="0" w:color="auto"/>
        <w:bottom w:val="none" w:sz="0" w:space="0" w:color="auto"/>
        <w:right w:val="none" w:sz="0" w:space="0" w:color="auto"/>
      </w:divBdr>
      <w:divsChild>
        <w:div w:id="693657523">
          <w:marLeft w:val="-230"/>
          <w:marRight w:val="0"/>
          <w:marTop w:val="0"/>
          <w:marBottom w:val="0"/>
          <w:divBdr>
            <w:top w:val="none" w:sz="0" w:space="0" w:color="auto"/>
            <w:left w:val="none" w:sz="0" w:space="0" w:color="auto"/>
            <w:bottom w:val="none" w:sz="0" w:space="0" w:color="auto"/>
            <w:right w:val="none" w:sz="0" w:space="0" w:color="auto"/>
          </w:divBdr>
        </w:div>
      </w:divsChild>
    </w:div>
    <w:div w:id="199323115">
      <w:bodyDiv w:val="1"/>
      <w:marLeft w:val="0"/>
      <w:marRight w:val="0"/>
      <w:marTop w:val="0"/>
      <w:marBottom w:val="0"/>
      <w:divBdr>
        <w:top w:val="none" w:sz="0" w:space="0" w:color="auto"/>
        <w:left w:val="none" w:sz="0" w:space="0" w:color="auto"/>
        <w:bottom w:val="none" w:sz="0" w:space="0" w:color="auto"/>
        <w:right w:val="none" w:sz="0" w:space="0" w:color="auto"/>
      </w:divBdr>
    </w:div>
    <w:div w:id="219555202">
      <w:bodyDiv w:val="1"/>
      <w:marLeft w:val="0"/>
      <w:marRight w:val="0"/>
      <w:marTop w:val="0"/>
      <w:marBottom w:val="0"/>
      <w:divBdr>
        <w:top w:val="none" w:sz="0" w:space="0" w:color="auto"/>
        <w:left w:val="none" w:sz="0" w:space="0" w:color="auto"/>
        <w:bottom w:val="none" w:sz="0" w:space="0" w:color="auto"/>
        <w:right w:val="none" w:sz="0" w:space="0" w:color="auto"/>
      </w:divBdr>
      <w:divsChild>
        <w:div w:id="1926187050">
          <w:marLeft w:val="-230"/>
          <w:marRight w:val="0"/>
          <w:marTop w:val="0"/>
          <w:marBottom w:val="0"/>
          <w:divBdr>
            <w:top w:val="none" w:sz="0" w:space="0" w:color="auto"/>
            <w:left w:val="none" w:sz="0" w:space="0" w:color="auto"/>
            <w:bottom w:val="none" w:sz="0" w:space="0" w:color="auto"/>
            <w:right w:val="none" w:sz="0" w:space="0" w:color="auto"/>
          </w:divBdr>
        </w:div>
      </w:divsChild>
    </w:div>
    <w:div w:id="361592408">
      <w:bodyDiv w:val="1"/>
      <w:marLeft w:val="0"/>
      <w:marRight w:val="0"/>
      <w:marTop w:val="0"/>
      <w:marBottom w:val="0"/>
      <w:divBdr>
        <w:top w:val="none" w:sz="0" w:space="0" w:color="auto"/>
        <w:left w:val="none" w:sz="0" w:space="0" w:color="auto"/>
        <w:bottom w:val="none" w:sz="0" w:space="0" w:color="auto"/>
        <w:right w:val="none" w:sz="0" w:space="0" w:color="auto"/>
      </w:divBdr>
    </w:div>
    <w:div w:id="376054620">
      <w:bodyDiv w:val="1"/>
      <w:marLeft w:val="0"/>
      <w:marRight w:val="0"/>
      <w:marTop w:val="0"/>
      <w:marBottom w:val="0"/>
      <w:divBdr>
        <w:top w:val="none" w:sz="0" w:space="0" w:color="auto"/>
        <w:left w:val="none" w:sz="0" w:space="0" w:color="auto"/>
        <w:bottom w:val="none" w:sz="0" w:space="0" w:color="auto"/>
        <w:right w:val="none" w:sz="0" w:space="0" w:color="auto"/>
      </w:divBdr>
    </w:div>
    <w:div w:id="501624790">
      <w:bodyDiv w:val="1"/>
      <w:marLeft w:val="0"/>
      <w:marRight w:val="0"/>
      <w:marTop w:val="0"/>
      <w:marBottom w:val="0"/>
      <w:divBdr>
        <w:top w:val="none" w:sz="0" w:space="0" w:color="auto"/>
        <w:left w:val="none" w:sz="0" w:space="0" w:color="auto"/>
        <w:bottom w:val="none" w:sz="0" w:space="0" w:color="auto"/>
        <w:right w:val="none" w:sz="0" w:space="0" w:color="auto"/>
      </w:divBdr>
    </w:div>
    <w:div w:id="531655326">
      <w:bodyDiv w:val="1"/>
      <w:marLeft w:val="0"/>
      <w:marRight w:val="0"/>
      <w:marTop w:val="0"/>
      <w:marBottom w:val="0"/>
      <w:divBdr>
        <w:top w:val="none" w:sz="0" w:space="0" w:color="auto"/>
        <w:left w:val="none" w:sz="0" w:space="0" w:color="auto"/>
        <w:bottom w:val="none" w:sz="0" w:space="0" w:color="auto"/>
        <w:right w:val="none" w:sz="0" w:space="0" w:color="auto"/>
      </w:divBdr>
    </w:div>
    <w:div w:id="542790486">
      <w:bodyDiv w:val="1"/>
      <w:marLeft w:val="0"/>
      <w:marRight w:val="0"/>
      <w:marTop w:val="0"/>
      <w:marBottom w:val="0"/>
      <w:divBdr>
        <w:top w:val="none" w:sz="0" w:space="0" w:color="auto"/>
        <w:left w:val="none" w:sz="0" w:space="0" w:color="auto"/>
        <w:bottom w:val="none" w:sz="0" w:space="0" w:color="auto"/>
        <w:right w:val="none" w:sz="0" w:space="0" w:color="auto"/>
      </w:divBdr>
    </w:div>
    <w:div w:id="559293567">
      <w:bodyDiv w:val="1"/>
      <w:marLeft w:val="0"/>
      <w:marRight w:val="0"/>
      <w:marTop w:val="0"/>
      <w:marBottom w:val="0"/>
      <w:divBdr>
        <w:top w:val="none" w:sz="0" w:space="0" w:color="auto"/>
        <w:left w:val="none" w:sz="0" w:space="0" w:color="auto"/>
        <w:bottom w:val="none" w:sz="0" w:space="0" w:color="auto"/>
        <w:right w:val="none" w:sz="0" w:space="0" w:color="auto"/>
      </w:divBdr>
    </w:div>
    <w:div w:id="580454173">
      <w:bodyDiv w:val="1"/>
      <w:marLeft w:val="0"/>
      <w:marRight w:val="0"/>
      <w:marTop w:val="0"/>
      <w:marBottom w:val="0"/>
      <w:divBdr>
        <w:top w:val="none" w:sz="0" w:space="0" w:color="auto"/>
        <w:left w:val="none" w:sz="0" w:space="0" w:color="auto"/>
        <w:bottom w:val="none" w:sz="0" w:space="0" w:color="auto"/>
        <w:right w:val="none" w:sz="0" w:space="0" w:color="auto"/>
      </w:divBdr>
    </w:div>
    <w:div w:id="583758479">
      <w:bodyDiv w:val="1"/>
      <w:marLeft w:val="0"/>
      <w:marRight w:val="0"/>
      <w:marTop w:val="0"/>
      <w:marBottom w:val="0"/>
      <w:divBdr>
        <w:top w:val="none" w:sz="0" w:space="0" w:color="auto"/>
        <w:left w:val="none" w:sz="0" w:space="0" w:color="auto"/>
        <w:bottom w:val="none" w:sz="0" w:space="0" w:color="auto"/>
        <w:right w:val="none" w:sz="0" w:space="0" w:color="auto"/>
      </w:divBdr>
    </w:div>
    <w:div w:id="677346133">
      <w:bodyDiv w:val="1"/>
      <w:marLeft w:val="0"/>
      <w:marRight w:val="0"/>
      <w:marTop w:val="0"/>
      <w:marBottom w:val="0"/>
      <w:divBdr>
        <w:top w:val="none" w:sz="0" w:space="0" w:color="auto"/>
        <w:left w:val="none" w:sz="0" w:space="0" w:color="auto"/>
        <w:bottom w:val="none" w:sz="0" w:space="0" w:color="auto"/>
        <w:right w:val="none" w:sz="0" w:space="0" w:color="auto"/>
      </w:divBdr>
    </w:div>
    <w:div w:id="677924612">
      <w:bodyDiv w:val="1"/>
      <w:marLeft w:val="0"/>
      <w:marRight w:val="0"/>
      <w:marTop w:val="0"/>
      <w:marBottom w:val="0"/>
      <w:divBdr>
        <w:top w:val="none" w:sz="0" w:space="0" w:color="auto"/>
        <w:left w:val="none" w:sz="0" w:space="0" w:color="auto"/>
        <w:bottom w:val="none" w:sz="0" w:space="0" w:color="auto"/>
        <w:right w:val="none" w:sz="0" w:space="0" w:color="auto"/>
      </w:divBdr>
    </w:div>
    <w:div w:id="678046677">
      <w:bodyDiv w:val="1"/>
      <w:marLeft w:val="0"/>
      <w:marRight w:val="0"/>
      <w:marTop w:val="0"/>
      <w:marBottom w:val="0"/>
      <w:divBdr>
        <w:top w:val="none" w:sz="0" w:space="0" w:color="auto"/>
        <w:left w:val="none" w:sz="0" w:space="0" w:color="auto"/>
        <w:bottom w:val="none" w:sz="0" w:space="0" w:color="auto"/>
        <w:right w:val="none" w:sz="0" w:space="0" w:color="auto"/>
      </w:divBdr>
      <w:divsChild>
        <w:div w:id="1326468086">
          <w:marLeft w:val="-230"/>
          <w:marRight w:val="0"/>
          <w:marTop w:val="0"/>
          <w:marBottom w:val="0"/>
          <w:divBdr>
            <w:top w:val="none" w:sz="0" w:space="0" w:color="auto"/>
            <w:left w:val="none" w:sz="0" w:space="0" w:color="auto"/>
            <w:bottom w:val="none" w:sz="0" w:space="0" w:color="auto"/>
            <w:right w:val="none" w:sz="0" w:space="0" w:color="auto"/>
          </w:divBdr>
        </w:div>
      </w:divsChild>
    </w:div>
    <w:div w:id="687870932">
      <w:bodyDiv w:val="1"/>
      <w:marLeft w:val="0"/>
      <w:marRight w:val="0"/>
      <w:marTop w:val="0"/>
      <w:marBottom w:val="0"/>
      <w:divBdr>
        <w:top w:val="none" w:sz="0" w:space="0" w:color="auto"/>
        <w:left w:val="none" w:sz="0" w:space="0" w:color="auto"/>
        <w:bottom w:val="none" w:sz="0" w:space="0" w:color="auto"/>
        <w:right w:val="none" w:sz="0" w:space="0" w:color="auto"/>
      </w:divBdr>
    </w:div>
    <w:div w:id="785082134">
      <w:bodyDiv w:val="1"/>
      <w:marLeft w:val="0"/>
      <w:marRight w:val="0"/>
      <w:marTop w:val="0"/>
      <w:marBottom w:val="0"/>
      <w:divBdr>
        <w:top w:val="none" w:sz="0" w:space="0" w:color="auto"/>
        <w:left w:val="none" w:sz="0" w:space="0" w:color="auto"/>
        <w:bottom w:val="none" w:sz="0" w:space="0" w:color="auto"/>
        <w:right w:val="none" w:sz="0" w:space="0" w:color="auto"/>
      </w:divBdr>
    </w:div>
    <w:div w:id="844057094">
      <w:bodyDiv w:val="1"/>
      <w:marLeft w:val="0"/>
      <w:marRight w:val="0"/>
      <w:marTop w:val="0"/>
      <w:marBottom w:val="0"/>
      <w:divBdr>
        <w:top w:val="none" w:sz="0" w:space="0" w:color="auto"/>
        <w:left w:val="none" w:sz="0" w:space="0" w:color="auto"/>
        <w:bottom w:val="none" w:sz="0" w:space="0" w:color="auto"/>
        <w:right w:val="none" w:sz="0" w:space="0" w:color="auto"/>
      </w:divBdr>
      <w:divsChild>
        <w:div w:id="426774066">
          <w:marLeft w:val="175"/>
          <w:marRight w:val="0"/>
          <w:marTop w:val="0"/>
          <w:marBottom w:val="0"/>
          <w:divBdr>
            <w:top w:val="none" w:sz="0" w:space="0" w:color="auto"/>
            <w:left w:val="none" w:sz="0" w:space="0" w:color="auto"/>
            <w:bottom w:val="none" w:sz="0" w:space="0" w:color="auto"/>
            <w:right w:val="none" w:sz="0" w:space="0" w:color="auto"/>
          </w:divBdr>
        </w:div>
      </w:divsChild>
    </w:div>
    <w:div w:id="844906459">
      <w:bodyDiv w:val="1"/>
      <w:marLeft w:val="0"/>
      <w:marRight w:val="0"/>
      <w:marTop w:val="0"/>
      <w:marBottom w:val="0"/>
      <w:divBdr>
        <w:top w:val="none" w:sz="0" w:space="0" w:color="auto"/>
        <w:left w:val="none" w:sz="0" w:space="0" w:color="auto"/>
        <w:bottom w:val="none" w:sz="0" w:space="0" w:color="auto"/>
        <w:right w:val="none" w:sz="0" w:space="0" w:color="auto"/>
      </w:divBdr>
    </w:div>
    <w:div w:id="847669896">
      <w:bodyDiv w:val="1"/>
      <w:marLeft w:val="0"/>
      <w:marRight w:val="0"/>
      <w:marTop w:val="0"/>
      <w:marBottom w:val="0"/>
      <w:divBdr>
        <w:top w:val="none" w:sz="0" w:space="0" w:color="auto"/>
        <w:left w:val="none" w:sz="0" w:space="0" w:color="auto"/>
        <w:bottom w:val="none" w:sz="0" w:space="0" w:color="auto"/>
        <w:right w:val="none" w:sz="0" w:space="0" w:color="auto"/>
      </w:divBdr>
    </w:div>
    <w:div w:id="867987624">
      <w:bodyDiv w:val="1"/>
      <w:marLeft w:val="0"/>
      <w:marRight w:val="0"/>
      <w:marTop w:val="0"/>
      <w:marBottom w:val="0"/>
      <w:divBdr>
        <w:top w:val="none" w:sz="0" w:space="0" w:color="auto"/>
        <w:left w:val="none" w:sz="0" w:space="0" w:color="auto"/>
        <w:bottom w:val="none" w:sz="0" w:space="0" w:color="auto"/>
        <w:right w:val="none" w:sz="0" w:space="0" w:color="auto"/>
      </w:divBdr>
    </w:div>
    <w:div w:id="877821080">
      <w:bodyDiv w:val="1"/>
      <w:marLeft w:val="0"/>
      <w:marRight w:val="0"/>
      <w:marTop w:val="0"/>
      <w:marBottom w:val="0"/>
      <w:divBdr>
        <w:top w:val="none" w:sz="0" w:space="0" w:color="auto"/>
        <w:left w:val="none" w:sz="0" w:space="0" w:color="auto"/>
        <w:bottom w:val="none" w:sz="0" w:space="0" w:color="auto"/>
        <w:right w:val="none" w:sz="0" w:space="0" w:color="auto"/>
      </w:divBdr>
    </w:div>
    <w:div w:id="928586993">
      <w:bodyDiv w:val="1"/>
      <w:marLeft w:val="0"/>
      <w:marRight w:val="0"/>
      <w:marTop w:val="0"/>
      <w:marBottom w:val="0"/>
      <w:divBdr>
        <w:top w:val="none" w:sz="0" w:space="0" w:color="auto"/>
        <w:left w:val="none" w:sz="0" w:space="0" w:color="auto"/>
        <w:bottom w:val="none" w:sz="0" w:space="0" w:color="auto"/>
        <w:right w:val="none" w:sz="0" w:space="0" w:color="auto"/>
      </w:divBdr>
    </w:div>
    <w:div w:id="1044718470">
      <w:bodyDiv w:val="1"/>
      <w:marLeft w:val="0"/>
      <w:marRight w:val="0"/>
      <w:marTop w:val="0"/>
      <w:marBottom w:val="0"/>
      <w:divBdr>
        <w:top w:val="none" w:sz="0" w:space="0" w:color="auto"/>
        <w:left w:val="none" w:sz="0" w:space="0" w:color="auto"/>
        <w:bottom w:val="none" w:sz="0" w:space="0" w:color="auto"/>
        <w:right w:val="none" w:sz="0" w:space="0" w:color="auto"/>
      </w:divBdr>
    </w:div>
    <w:div w:id="1148134739">
      <w:bodyDiv w:val="1"/>
      <w:marLeft w:val="0"/>
      <w:marRight w:val="0"/>
      <w:marTop w:val="0"/>
      <w:marBottom w:val="0"/>
      <w:divBdr>
        <w:top w:val="none" w:sz="0" w:space="0" w:color="auto"/>
        <w:left w:val="none" w:sz="0" w:space="0" w:color="auto"/>
        <w:bottom w:val="none" w:sz="0" w:space="0" w:color="auto"/>
        <w:right w:val="none" w:sz="0" w:space="0" w:color="auto"/>
      </w:divBdr>
    </w:div>
    <w:div w:id="1230994827">
      <w:bodyDiv w:val="1"/>
      <w:marLeft w:val="0"/>
      <w:marRight w:val="0"/>
      <w:marTop w:val="0"/>
      <w:marBottom w:val="0"/>
      <w:divBdr>
        <w:top w:val="none" w:sz="0" w:space="0" w:color="auto"/>
        <w:left w:val="none" w:sz="0" w:space="0" w:color="auto"/>
        <w:bottom w:val="none" w:sz="0" w:space="0" w:color="auto"/>
        <w:right w:val="none" w:sz="0" w:space="0" w:color="auto"/>
      </w:divBdr>
    </w:div>
    <w:div w:id="1379627562">
      <w:bodyDiv w:val="1"/>
      <w:marLeft w:val="0"/>
      <w:marRight w:val="0"/>
      <w:marTop w:val="0"/>
      <w:marBottom w:val="0"/>
      <w:divBdr>
        <w:top w:val="none" w:sz="0" w:space="0" w:color="auto"/>
        <w:left w:val="none" w:sz="0" w:space="0" w:color="auto"/>
        <w:bottom w:val="none" w:sz="0" w:space="0" w:color="auto"/>
        <w:right w:val="none" w:sz="0" w:space="0" w:color="auto"/>
      </w:divBdr>
    </w:div>
    <w:div w:id="1387560556">
      <w:bodyDiv w:val="1"/>
      <w:marLeft w:val="0"/>
      <w:marRight w:val="0"/>
      <w:marTop w:val="0"/>
      <w:marBottom w:val="0"/>
      <w:divBdr>
        <w:top w:val="none" w:sz="0" w:space="0" w:color="auto"/>
        <w:left w:val="none" w:sz="0" w:space="0" w:color="auto"/>
        <w:bottom w:val="none" w:sz="0" w:space="0" w:color="auto"/>
        <w:right w:val="none" w:sz="0" w:space="0" w:color="auto"/>
      </w:divBdr>
    </w:div>
    <w:div w:id="1440101924">
      <w:bodyDiv w:val="1"/>
      <w:marLeft w:val="0"/>
      <w:marRight w:val="0"/>
      <w:marTop w:val="0"/>
      <w:marBottom w:val="0"/>
      <w:divBdr>
        <w:top w:val="none" w:sz="0" w:space="0" w:color="auto"/>
        <w:left w:val="none" w:sz="0" w:space="0" w:color="auto"/>
        <w:bottom w:val="none" w:sz="0" w:space="0" w:color="auto"/>
        <w:right w:val="none" w:sz="0" w:space="0" w:color="auto"/>
      </w:divBdr>
    </w:div>
    <w:div w:id="1596481340">
      <w:bodyDiv w:val="1"/>
      <w:marLeft w:val="0"/>
      <w:marRight w:val="0"/>
      <w:marTop w:val="0"/>
      <w:marBottom w:val="0"/>
      <w:divBdr>
        <w:top w:val="none" w:sz="0" w:space="0" w:color="auto"/>
        <w:left w:val="none" w:sz="0" w:space="0" w:color="auto"/>
        <w:bottom w:val="none" w:sz="0" w:space="0" w:color="auto"/>
        <w:right w:val="none" w:sz="0" w:space="0" w:color="auto"/>
      </w:divBdr>
    </w:div>
    <w:div w:id="1711538311">
      <w:bodyDiv w:val="1"/>
      <w:marLeft w:val="0"/>
      <w:marRight w:val="0"/>
      <w:marTop w:val="0"/>
      <w:marBottom w:val="0"/>
      <w:divBdr>
        <w:top w:val="none" w:sz="0" w:space="0" w:color="auto"/>
        <w:left w:val="none" w:sz="0" w:space="0" w:color="auto"/>
        <w:bottom w:val="none" w:sz="0" w:space="0" w:color="auto"/>
        <w:right w:val="none" w:sz="0" w:space="0" w:color="auto"/>
      </w:divBdr>
    </w:div>
    <w:div w:id="1809395919">
      <w:bodyDiv w:val="1"/>
      <w:marLeft w:val="0"/>
      <w:marRight w:val="0"/>
      <w:marTop w:val="0"/>
      <w:marBottom w:val="0"/>
      <w:divBdr>
        <w:top w:val="none" w:sz="0" w:space="0" w:color="auto"/>
        <w:left w:val="none" w:sz="0" w:space="0" w:color="auto"/>
        <w:bottom w:val="none" w:sz="0" w:space="0" w:color="auto"/>
        <w:right w:val="none" w:sz="0" w:space="0" w:color="auto"/>
      </w:divBdr>
    </w:div>
    <w:div w:id="1819880972">
      <w:bodyDiv w:val="1"/>
      <w:marLeft w:val="0"/>
      <w:marRight w:val="0"/>
      <w:marTop w:val="0"/>
      <w:marBottom w:val="0"/>
      <w:divBdr>
        <w:top w:val="none" w:sz="0" w:space="0" w:color="auto"/>
        <w:left w:val="none" w:sz="0" w:space="0" w:color="auto"/>
        <w:bottom w:val="none" w:sz="0" w:space="0" w:color="auto"/>
        <w:right w:val="none" w:sz="0" w:space="0" w:color="auto"/>
      </w:divBdr>
    </w:div>
    <w:div w:id="1906598000">
      <w:bodyDiv w:val="1"/>
      <w:marLeft w:val="0"/>
      <w:marRight w:val="0"/>
      <w:marTop w:val="0"/>
      <w:marBottom w:val="0"/>
      <w:divBdr>
        <w:top w:val="none" w:sz="0" w:space="0" w:color="auto"/>
        <w:left w:val="none" w:sz="0" w:space="0" w:color="auto"/>
        <w:bottom w:val="none" w:sz="0" w:space="0" w:color="auto"/>
        <w:right w:val="none" w:sz="0" w:space="0" w:color="auto"/>
      </w:divBdr>
    </w:div>
    <w:div w:id="1970891061">
      <w:bodyDiv w:val="1"/>
      <w:marLeft w:val="0"/>
      <w:marRight w:val="0"/>
      <w:marTop w:val="0"/>
      <w:marBottom w:val="0"/>
      <w:divBdr>
        <w:top w:val="none" w:sz="0" w:space="0" w:color="auto"/>
        <w:left w:val="none" w:sz="0" w:space="0" w:color="auto"/>
        <w:bottom w:val="none" w:sz="0" w:space="0" w:color="auto"/>
        <w:right w:val="none" w:sz="0" w:space="0" w:color="auto"/>
      </w:divBdr>
    </w:div>
    <w:div w:id="2013559511">
      <w:bodyDiv w:val="1"/>
      <w:marLeft w:val="0"/>
      <w:marRight w:val="0"/>
      <w:marTop w:val="0"/>
      <w:marBottom w:val="0"/>
      <w:divBdr>
        <w:top w:val="none" w:sz="0" w:space="0" w:color="auto"/>
        <w:left w:val="none" w:sz="0" w:space="0" w:color="auto"/>
        <w:bottom w:val="none" w:sz="0" w:space="0" w:color="auto"/>
        <w:right w:val="none" w:sz="0" w:space="0" w:color="auto"/>
      </w:divBdr>
    </w:div>
    <w:div w:id="2096052694">
      <w:bodyDiv w:val="1"/>
      <w:marLeft w:val="0"/>
      <w:marRight w:val="0"/>
      <w:marTop w:val="0"/>
      <w:marBottom w:val="0"/>
      <w:divBdr>
        <w:top w:val="none" w:sz="0" w:space="0" w:color="auto"/>
        <w:left w:val="none" w:sz="0" w:space="0" w:color="auto"/>
        <w:bottom w:val="none" w:sz="0" w:space="0" w:color="auto"/>
        <w:right w:val="none" w:sz="0" w:space="0" w:color="auto"/>
      </w:divBdr>
    </w:div>
    <w:div w:id="2127310079">
      <w:bodyDiv w:val="1"/>
      <w:marLeft w:val="0"/>
      <w:marRight w:val="0"/>
      <w:marTop w:val="0"/>
      <w:marBottom w:val="0"/>
      <w:divBdr>
        <w:top w:val="none" w:sz="0" w:space="0" w:color="auto"/>
        <w:left w:val="none" w:sz="0" w:space="0" w:color="auto"/>
        <w:bottom w:val="none" w:sz="0" w:space="0" w:color="auto"/>
        <w:right w:val="none" w:sz="0" w:space="0" w:color="auto"/>
      </w:divBdr>
    </w:div>
    <w:div w:id="2141268377">
      <w:bodyDiv w:val="1"/>
      <w:marLeft w:val="0"/>
      <w:marRight w:val="0"/>
      <w:marTop w:val="0"/>
      <w:marBottom w:val="0"/>
      <w:divBdr>
        <w:top w:val="none" w:sz="0" w:space="0" w:color="auto"/>
        <w:left w:val="none" w:sz="0" w:space="0" w:color="auto"/>
        <w:bottom w:val="none" w:sz="0" w:space="0" w:color="auto"/>
        <w:right w:val="none" w:sz="0" w:space="0" w:color="auto"/>
      </w:divBdr>
      <w:divsChild>
        <w:div w:id="1534802194">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2018-03-07T00:00:00</PublishDate>
  <Abstract/>
  <CompanyAddress/>
  <CompanyPhone/>
  <CompanyFax/>
  <CompanyEmail/>
</CoverPageProperties>
</file>

<file path=customXml/item2.xml><?xml version="1.0" encoding="utf-8"?>
<?mso-contentType ?>
<p:Policy xmlns:p="office.server.policy" id="" local="true">
  <p:Name>TasNetworks Document</p:Name>
  <p:Description/>
  <p:Statement/>
  <p:PolicyItems>
    <p:PolicyItem featureId="Microsoft.Office.RecordsManagement.PolicyFeatures.PolicyAudit" staticId="0x01010040455D106F859F468E6D452FBFEBB268|8138272" UniqueId="d778febe-f478-4164-8b66-0d09d8b8933a">
      <p:Name>Auditing</p:Name>
      <p:Description>Audits user actions on documents and list items to the Audit Log.</p:Description>
      <p:CustomData>
        <Audit>
          <Update/>
          <View/>
          <CheckInOut/>
          <MoveCopy/>
          <DeleteRestore/>
        </Audit>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TasNetworks Document" ma:contentTypeID="0x01010040455D106F859F468E6D452FBFEBB26800E54D1C6798218F48B9029ABA5949F88B" ma:contentTypeVersion="14" ma:contentTypeDescription="TasNetworks base Document content type " ma:contentTypeScope="" ma:versionID="3a79b69d5c30f16ac78c1a7d301b5d87">
  <xsd:schema xmlns:xsd="http://www.w3.org/2001/XMLSchema" xmlns:xs="http://www.w3.org/2001/XMLSchema" xmlns:p="http://schemas.microsoft.com/office/2006/metadata/properties" xmlns:ns1="http://schemas.microsoft.com/sharepoint/v3" xmlns:ns2="200fb119-eb52-4b14-8105-5afb3c90cb4b" xmlns:ns3="http://schemas.microsoft.com/sharepoint/v3/fields" targetNamespace="http://schemas.microsoft.com/office/2006/metadata/properties" ma:root="true" ma:fieldsID="809714e8862413892c62fb811fab5506" ns1:_="" ns2:_="" ns3:_="">
    <xsd:import namespace="http://schemas.microsoft.com/sharepoint/v3"/>
    <xsd:import namespace="200fb119-eb52-4b14-8105-5afb3c90cb4b"/>
    <xsd:import namespace="http://schemas.microsoft.com/sharepoint/v3/fields"/>
    <xsd:element name="properties">
      <xsd:complexType>
        <xsd:sequence>
          <xsd:element name="documentManagement">
            <xsd:complexType>
              <xsd:all>
                <xsd:element ref="ns2:Record_x0020_Number" minOccurs="0"/>
                <xsd:element ref="ns1:_dlc_Exempt"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0fb119-eb52-4b14-8105-5afb3c90cb4b" elementFormDefault="qualified">
    <xsd:import namespace="http://schemas.microsoft.com/office/2006/documentManagement/types"/>
    <xsd:import namespace="http://schemas.microsoft.com/office/infopath/2007/PartnerControls"/>
    <xsd:element name="Record_x0020_Number" ma:index="8" nillable="true" ma:displayName="Record Number" ma:internalName="Record_x0020_Numb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0"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Record_x0020_Number xmlns="200fb119-eb52-4b14-8105-5afb3c90cb4b">R0001466428</Record_x0020_Number>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9BC533-5C35-4B7C-A78D-E7C6F1A15B68}">
  <ds:schemaRefs>
    <ds:schemaRef ds:uri="office.server.policy"/>
  </ds:schemaRefs>
</ds:datastoreItem>
</file>

<file path=customXml/itemProps3.xml><?xml version="1.0" encoding="utf-8"?>
<ds:datastoreItem xmlns:ds="http://schemas.openxmlformats.org/officeDocument/2006/customXml" ds:itemID="{4A0582D8-6974-445F-9F5B-29DF413806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0fb119-eb52-4b14-8105-5afb3c90cb4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6B8626-117E-4993-9CA2-78D911C44201}">
  <ds:schemaRefs>
    <ds:schemaRef ds:uri="http://schemas.microsoft.com/sharepoint/events"/>
  </ds:schemaRefs>
</ds:datastoreItem>
</file>

<file path=customXml/itemProps5.xml><?xml version="1.0" encoding="utf-8"?>
<ds:datastoreItem xmlns:ds="http://schemas.openxmlformats.org/officeDocument/2006/customXml" ds:itemID="{870BCB8F-AE96-4E4A-A705-29626E09948B}">
  <ds:schemaRefs>
    <ds:schemaRef ds:uri="http://schemas.microsoft.com/sharepoint/v3/contenttype/forms"/>
  </ds:schemaRefs>
</ds:datastoreItem>
</file>

<file path=customXml/itemProps6.xml><?xml version="1.0" encoding="utf-8"?>
<ds:datastoreItem xmlns:ds="http://schemas.openxmlformats.org/officeDocument/2006/customXml" ds:itemID="{9BF25CF9-D953-409E-BEB6-EAA260ABAA53}">
  <ds:schemaRefs>
    <ds:schemaRef ds:uri="http://schemas.microsoft.com/sharepoint/v3"/>
    <ds:schemaRef ds:uri="http://www.w3.org/XML/1998/namespace"/>
    <ds:schemaRef ds:uri="http://schemas.openxmlformats.org/package/2006/metadata/core-propertie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microsoft.com/office/infopath/2007/PartnerControls"/>
    <ds:schemaRef ds:uri="http://schemas.microsoft.com/sharepoint/v3/fields"/>
    <ds:schemaRef ds:uri="200fb119-eb52-4b14-8105-5afb3c90cb4b"/>
  </ds:schemaRefs>
</ds:datastoreItem>
</file>

<file path=customXml/itemProps7.xml><?xml version="1.0" encoding="utf-8"?>
<ds:datastoreItem xmlns:ds="http://schemas.openxmlformats.org/officeDocument/2006/customXml" ds:itemID="{A419FE45-8746-425B-9788-D3249C86E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Project Marinus Document Template</vt:lpstr>
    </vt:vector>
  </TitlesOfParts>
  <Company>TasNetworks</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Marinus Document Template</dc:title>
  <dc:subject/>
  <dc:creator>Emerson Ringrose</dc:creator>
  <cp:keywords/>
  <dc:description/>
  <cp:lastModifiedBy>Paul Rayner</cp:lastModifiedBy>
  <cp:revision>9</cp:revision>
  <cp:lastPrinted>2018-08-02T07:35:00Z</cp:lastPrinted>
  <dcterms:created xsi:type="dcterms:W3CDTF">2019-12-19T05:03:00Z</dcterms:created>
  <dcterms:modified xsi:type="dcterms:W3CDTF">2019-12-19T06:41:00Z</dcterms:modified>
  <cp:category>Microsoft Word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0x01010040455D106F859F468E6D452FBFEBB26800E54D1C6798218F48B9029ABA5949F88B</vt:lpwstr>
  </property>
  <property fmtid="{D5CDD505-2E9C-101B-9397-08002B2CF9AE}" pid="3" name="RecordPoint_SubmissionDate">
    <vt:lpwstr/>
  </property>
  <property fmtid="{D5CDD505-2E9C-101B-9397-08002B2CF9AE}" pid="4" name="RecordPoint_RecordNumberSubmitted">
    <vt:lpwstr>R0001466428</vt:lpwstr>
  </property>
  <property fmtid="{D5CDD505-2E9C-101B-9397-08002B2CF9AE}" pid="5" name="RecordPoint_ActiveItemSiteId">
    <vt:lpwstr>{bed8f96d-0f75-4c3d-baed-50b4a86a653e}</vt:lpwstr>
  </property>
  <property fmtid="{D5CDD505-2E9C-101B-9397-08002B2CF9AE}" pid="6" name="RecordPoint_ActiveItemListId">
    <vt:lpwstr>{6f96c9de-072c-4d01-b20e-5234c7bab483}</vt:lpwstr>
  </property>
  <property fmtid="{D5CDD505-2E9C-101B-9397-08002B2CF9AE}" pid="7" name="RecordPoint_ActiveItemUniqueId">
    <vt:lpwstr>{b730fe1e-f40e-4795-bfe6-38d9a54df482}</vt:lpwstr>
  </property>
  <property fmtid="{D5CDD505-2E9C-101B-9397-08002B2CF9AE}" pid="8" name="RecordPoint_RecordFormat">
    <vt:lpwstr/>
  </property>
  <property fmtid="{D5CDD505-2E9C-101B-9397-08002B2CF9AE}" pid="9" name="RecordPoint_ActiveItemMoved">
    <vt:lpwstr/>
  </property>
  <property fmtid="{D5CDD505-2E9C-101B-9397-08002B2CF9AE}" pid="10" name="RecordPoint_ActiveItemWebId">
    <vt:lpwstr>{df930e5c-5eaa-41ac-aa83-59eb19ae5870}</vt:lpwstr>
  </property>
  <property fmtid="{D5CDD505-2E9C-101B-9397-08002B2CF9AE}" pid="11" name="RecordPoint_WorkflowType">
    <vt:lpwstr>ActiveSubmitStub</vt:lpwstr>
  </property>
  <property fmtid="{D5CDD505-2E9C-101B-9397-08002B2CF9AE}" pid="12" name="Asset_x0020_Category">
    <vt:lpwstr/>
  </property>
  <property fmtid="{D5CDD505-2E9C-101B-9397-08002B2CF9AE}" pid="13" name="Asset Category">
    <vt:lpwstr/>
  </property>
  <property fmtid="{D5CDD505-2E9C-101B-9397-08002B2CF9AE}" pid="14" name="RecordPoint_SubmissionCompleted">
    <vt:lpwstr>2019-12-19T17:41:55.6376394+11:00</vt:lpwstr>
  </property>
</Properties>
</file>